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89F9" w14:textId="77777777" w:rsidR="00566B52" w:rsidRPr="00913B09" w:rsidRDefault="00566B52" w:rsidP="00566B52">
      <w:pPr>
        <w:spacing w:after="0" w:line="240" w:lineRule="auto"/>
        <w:jc w:val="center"/>
        <w:rPr>
          <w:rFonts w:eastAsia="Arial" w:cstheme="minorHAnsi"/>
          <w:color w:val="000000"/>
          <w:spacing w:val="-2"/>
          <w:sz w:val="24"/>
          <w:szCs w:val="24"/>
        </w:rPr>
      </w:pPr>
      <w:bookmarkStart w:id="0" w:name="_Hlk515369194"/>
    </w:p>
    <w:p w14:paraId="5CEB89FA" w14:textId="77777777" w:rsidR="00566B52" w:rsidRPr="00913B09" w:rsidRDefault="00566B52" w:rsidP="00566B52">
      <w:pPr>
        <w:spacing w:after="0" w:line="240" w:lineRule="auto"/>
        <w:jc w:val="center"/>
        <w:rPr>
          <w:rFonts w:eastAsia="Arial" w:cstheme="minorHAnsi"/>
          <w:color w:val="000000"/>
          <w:spacing w:val="-2"/>
          <w:sz w:val="24"/>
          <w:szCs w:val="24"/>
        </w:rPr>
      </w:pPr>
    </w:p>
    <w:bookmarkEnd w:id="0"/>
    <w:p w14:paraId="1F2634D1" w14:textId="1B4C4F04" w:rsidR="00F31E61" w:rsidRDefault="00BD1E98" w:rsidP="00F31E61">
      <w:pPr>
        <w:pStyle w:val="Title"/>
        <w:spacing w:line="276" w:lineRule="auto"/>
        <w:rPr>
          <w:rFonts w:ascii="Calibri Light" w:hAnsi="Calibri Light" w:cs="Calibri"/>
          <w:b w:val="0"/>
          <w:color w:val="767171"/>
          <w:sz w:val="32"/>
          <w:szCs w:val="32"/>
          <w:u w:val="none"/>
        </w:rPr>
      </w:pPr>
      <w:r>
        <w:rPr>
          <w:rFonts w:ascii="Calibri Light" w:hAnsi="Calibri Light" w:cs="Calibri"/>
          <w:b w:val="0"/>
          <w:color w:val="767171"/>
          <w:sz w:val="32"/>
          <w:szCs w:val="32"/>
          <w:u w:val="none"/>
        </w:rPr>
        <w:t xml:space="preserve">Patient </w:t>
      </w:r>
      <w:r w:rsidR="00F31E61">
        <w:rPr>
          <w:rFonts w:ascii="Calibri Light" w:hAnsi="Calibri Light" w:cs="Calibri"/>
          <w:b w:val="0"/>
          <w:color w:val="767171"/>
          <w:sz w:val="32"/>
          <w:szCs w:val="32"/>
          <w:u w:val="none"/>
        </w:rPr>
        <w:t xml:space="preserve">Access to </w:t>
      </w:r>
      <w:r w:rsidR="0062132B">
        <w:rPr>
          <w:rFonts w:ascii="Calibri Light" w:hAnsi="Calibri Light" w:cs="Calibri"/>
          <w:b w:val="0"/>
          <w:color w:val="767171"/>
          <w:sz w:val="32"/>
          <w:szCs w:val="32"/>
          <w:u w:val="none"/>
        </w:rPr>
        <w:t xml:space="preserve">Medical </w:t>
      </w:r>
      <w:r w:rsidR="00F31E61">
        <w:rPr>
          <w:rFonts w:ascii="Calibri Light" w:hAnsi="Calibri Light" w:cs="Calibri"/>
          <w:b w:val="0"/>
          <w:color w:val="767171"/>
          <w:sz w:val="32"/>
          <w:szCs w:val="32"/>
          <w:u w:val="none"/>
        </w:rPr>
        <w:t xml:space="preserve">Records </w:t>
      </w:r>
      <w:r w:rsidR="00F31E61" w:rsidRPr="003E5AEC">
        <w:rPr>
          <w:rFonts w:ascii="Calibri Light" w:hAnsi="Calibri Light" w:cs="Calibri"/>
          <w:b w:val="0"/>
          <w:color w:val="767171"/>
          <w:sz w:val="32"/>
          <w:szCs w:val="32"/>
          <w:u w:val="none"/>
        </w:rPr>
        <w:t>Policy</w:t>
      </w:r>
    </w:p>
    <w:p w14:paraId="17C4F11F" w14:textId="77777777" w:rsidR="00F31E61" w:rsidRDefault="00F31E61" w:rsidP="00F31E61">
      <w:pPr>
        <w:rPr>
          <w:rFonts w:ascii="Calibri" w:hAnsi="Calibri" w:cs="Calibri"/>
          <w:b/>
        </w:rPr>
      </w:pPr>
    </w:p>
    <w:p w14:paraId="7962F8C4" w14:textId="77777777" w:rsidR="00F31E61" w:rsidRPr="000D0DAE" w:rsidRDefault="00F31E61" w:rsidP="00F31E61">
      <w:pPr>
        <w:rPr>
          <w:rFonts w:ascii="Calibri" w:hAnsi="Calibri" w:cs="Calibri"/>
          <w:b/>
        </w:rPr>
      </w:pPr>
      <w:r w:rsidRPr="00B632F8">
        <w:rPr>
          <w:rFonts w:ascii="Calibri" w:hAnsi="Calibri" w:cs="Calibri"/>
          <w:b/>
        </w:rPr>
        <w:t>Document Control</w:t>
      </w:r>
    </w:p>
    <w:p w14:paraId="64EE747B" w14:textId="77777777" w:rsidR="00F31E61" w:rsidRPr="00B632F8" w:rsidRDefault="00F31E61" w:rsidP="00F31E61">
      <w:pPr>
        <w:rPr>
          <w:rFonts w:ascii="Calibri Light" w:hAnsi="Calibri Light" w:cs="Calibri Light"/>
        </w:rPr>
      </w:pPr>
      <w:r w:rsidRPr="00B632F8">
        <w:rPr>
          <w:rFonts w:ascii="Calibri Light" w:hAnsi="Calibri Light" w:cs="Calibri Light"/>
        </w:rPr>
        <w:t>A.</w:t>
      </w:r>
      <w:r w:rsidRPr="00B632F8">
        <w:rPr>
          <w:rFonts w:ascii="Calibri Light" w:hAnsi="Calibri Light" w:cs="Calibri Light"/>
        </w:rPr>
        <w:tab/>
        <w:t>Confidentiality Notice</w:t>
      </w:r>
    </w:p>
    <w:p w14:paraId="2AF78780" w14:textId="77777777" w:rsidR="00F31E61" w:rsidRPr="00B632F8" w:rsidRDefault="00F31E61" w:rsidP="00F31E61">
      <w:pPr>
        <w:rPr>
          <w:rFonts w:ascii="Calibri" w:hAnsi="Calibri" w:cs="Calibri"/>
        </w:rPr>
      </w:pPr>
      <w:r w:rsidRPr="00B632F8">
        <w:rPr>
          <w:rFonts w:ascii="Calibri" w:hAnsi="Calibri" w:cs="Calibri"/>
        </w:rPr>
        <w:t>This document and the information contained therein is the property of Southport and Formby Health (SAFH).</w:t>
      </w:r>
    </w:p>
    <w:p w14:paraId="7515F3CB" w14:textId="77777777" w:rsidR="00F31E61" w:rsidRPr="000D0DAE" w:rsidRDefault="00F31E61" w:rsidP="00F31E61">
      <w:pPr>
        <w:rPr>
          <w:rFonts w:ascii="Calibri" w:hAnsi="Calibri" w:cs="Calibri"/>
        </w:rPr>
      </w:pPr>
      <w:r w:rsidRPr="00B632F8">
        <w:rPr>
          <w:rFonts w:ascii="Calibri" w:hAnsi="Calibri" w:cs="Calibri"/>
        </w:rPr>
        <w:t>This document contains information that is privileged, confidential or otherwise protected from disclosure. It must not be used by, or its contents reproduced or otherwise copied or disclosed without the prior consent in writing from Southport and Formby Health.</w:t>
      </w:r>
    </w:p>
    <w:p w14:paraId="663698B9" w14:textId="77777777" w:rsidR="00F31E61" w:rsidRPr="000D0DAE" w:rsidRDefault="00F31E61" w:rsidP="00F31E61">
      <w:pPr>
        <w:rPr>
          <w:rFonts w:ascii="Calibri Light" w:hAnsi="Calibri Light" w:cs="Calibri Light"/>
        </w:rPr>
      </w:pPr>
      <w:r w:rsidRPr="00B632F8">
        <w:rPr>
          <w:rFonts w:ascii="Calibri Light" w:hAnsi="Calibri Light" w:cs="Calibri Light"/>
        </w:rPr>
        <w:t>B.</w:t>
      </w:r>
      <w:r w:rsidRPr="00B632F8">
        <w:rPr>
          <w:rFonts w:ascii="Calibri Light" w:hAnsi="Calibri Light" w:cs="Calibri Light"/>
        </w:rPr>
        <w:tab/>
        <w:t>Document Details</w:t>
      </w: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2972"/>
        <w:gridCol w:w="6616"/>
      </w:tblGrid>
      <w:tr w:rsidR="00F31E61" w:rsidRPr="00B632F8" w14:paraId="5F465544" w14:textId="77777777" w:rsidTr="000A6530">
        <w:tc>
          <w:tcPr>
            <w:tcW w:w="2972" w:type="dxa"/>
            <w:tcBorders>
              <w:top w:val="single" w:sz="4" w:space="0" w:color="333333"/>
              <w:left w:val="single" w:sz="4" w:space="0" w:color="333333"/>
              <w:bottom w:val="single" w:sz="4" w:space="0" w:color="333333"/>
              <w:right w:val="single" w:sz="4" w:space="0" w:color="333333"/>
            </w:tcBorders>
            <w:shd w:val="clear" w:color="auto" w:fill="D9D9D9"/>
            <w:hideMark/>
          </w:tcPr>
          <w:p w14:paraId="578DD349" w14:textId="77777777" w:rsidR="00F31E61" w:rsidRPr="00B632F8" w:rsidRDefault="00F31E61" w:rsidP="000A6530">
            <w:pPr>
              <w:spacing w:before="60" w:after="60"/>
              <w:rPr>
                <w:rFonts w:ascii="Calibri Light" w:hAnsi="Calibri Light" w:cs="Calibri Light"/>
              </w:rPr>
            </w:pPr>
            <w:r w:rsidRPr="00B632F8">
              <w:rPr>
                <w:rFonts w:ascii="Calibri Light" w:hAnsi="Calibri Light" w:cs="Calibri Light"/>
              </w:rPr>
              <w:t>Classification:</w:t>
            </w:r>
          </w:p>
        </w:tc>
        <w:tc>
          <w:tcPr>
            <w:tcW w:w="6616" w:type="dxa"/>
            <w:tcBorders>
              <w:top w:val="single" w:sz="4" w:space="0" w:color="333333"/>
              <w:left w:val="single" w:sz="4" w:space="0" w:color="333333"/>
              <w:bottom w:val="single" w:sz="4" w:space="0" w:color="333333"/>
              <w:right w:val="single" w:sz="4" w:space="0" w:color="333333"/>
            </w:tcBorders>
            <w:shd w:val="clear" w:color="auto" w:fill="auto"/>
            <w:hideMark/>
          </w:tcPr>
          <w:p w14:paraId="76EF8ECD" w14:textId="77777777" w:rsidR="00F31E61" w:rsidRPr="00B632F8" w:rsidRDefault="00F31E61" w:rsidP="000A6530">
            <w:pPr>
              <w:spacing w:before="60" w:after="60"/>
              <w:rPr>
                <w:rFonts w:ascii="Calibri" w:hAnsi="Calibri" w:cs="Calibri"/>
              </w:rPr>
            </w:pPr>
            <w:r>
              <w:rPr>
                <w:rFonts w:ascii="Calibri" w:hAnsi="Calibri" w:cs="Calibri"/>
              </w:rPr>
              <w:t>Good Governance - Information Governance</w:t>
            </w:r>
          </w:p>
        </w:tc>
      </w:tr>
      <w:tr w:rsidR="00F31E61" w:rsidRPr="00B632F8" w14:paraId="251CE8B7" w14:textId="77777777" w:rsidTr="000A6530">
        <w:tc>
          <w:tcPr>
            <w:tcW w:w="2972" w:type="dxa"/>
            <w:tcBorders>
              <w:top w:val="single" w:sz="4" w:space="0" w:color="333333"/>
              <w:left w:val="single" w:sz="4" w:space="0" w:color="333333"/>
              <w:bottom w:val="single" w:sz="4" w:space="0" w:color="333333"/>
              <w:right w:val="single" w:sz="4" w:space="0" w:color="333333"/>
            </w:tcBorders>
            <w:shd w:val="clear" w:color="auto" w:fill="D9D9D9"/>
            <w:hideMark/>
          </w:tcPr>
          <w:p w14:paraId="28420937" w14:textId="77777777" w:rsidR="00F31E61" w:rsidRPr="00B632F8" w:rsidRDefault="00F31E61" w:rsidP="000A6530">
            <w:pPr>
              <w:spacing w:before="60" w:after="60"/>
              <w:rPr>
                <w:rFonts w:ascii="Calibri Light" w:hAnsi="Calibri Light" w:cs="Calibri Light"/>
              </w:rPr>
            </w:pPr>
            <w:r w:rsidRPr="00B632F8">
              <w:rPr>
                <w:rFonts w:ascii="Calibri Light" w:hAnsi="Calibri Light" w:cs="Calibri Light"/>
              </w:rPr>
              <w:t>Author and Role:</w:t>
            </w:r>
          </w:p>
        </w:tc>
        <w:tc>
          <w:tcPr>
            <w:tcW w:w="6616" w:type="dxa"/>
            <w:tcBorders>
              <w:top w:val="single" w:sz="4" w:space="0" w:color="333333"/>
              <w:left w:val="single" w:sz="4" w:space="0" w:color="333333"/>
              <w:bottom w:val="single" w:sz="4" w:space="0" w:color="333333"/>
              <w:right w:val="single" w:sz="4" w:space="0" w:color="333333"/>
            </w:tcBorders>
            <w:shd w:val="clear" w:color="auto" w:fill="auto"/>
          </w:tcPr>
          <w:p w14:paraId="086851F5" w14:textId="4A2BE3A8" w:rsidR="00F31E61" w:rsidRPr="00B632F8" w:rsidRDefault="007D0932" w:rsidP="000A6530">
            <w:pPr>
              <w:spacing w:before="60" w:after="60"/>
              <w:rPr>
                <w:rFonts w:ascii="Calibri" w:hAnsi="Calibri" w:cs="Calibri"/>
              </w:rPr>
            </w:pPr>
            <w:r>
              <w:rPr>
                <w:rFonts w:ascii="Calibri" w:eastAsia="Times New Roman" w:hAnsi="Calibri" w:cs="Calibri"/>
              </w:rPr>
              <w:t xml:space="preserve">Nicole </w:t>
            </w:r>
            <w:r w:rsidR="004C43BC">
              <w:rPr>
                <w:rFonts w:ascii="Calibri" w:eastAsia="Times New Roman" w:hAnsi="Calibri" w:cs="Calibri"/>
              </w:rPr>
              <w:t>Marshall, Director of Governance</w:t>
            </w:r>
          </w:p>
        </w:tc>
      </w:tr>
      <w:tr w:rsidR="00F31E61" w:rsidRPr="00B632F8" w14:paraId="6D0697A3" w14:textId="77777777" w:rsidTr="000A6530">
        <w:tc>
          <w:tcPr>
            <w:tcW w:w="2972" w:type="dxa"/>
            <w:tcBorders>
              <w:top w:val="single" w:sz="4" w:space="0" w:color="333333"/>
              <w:left w:val="single" w:sz="4" w:space="0" w:color="333333"/>
              <w:bottom w:val="single" w:sz="4" w:space="0" w:color="333333"/>
              <w:right w:val="single" w:sz="4" w:space="0" w:color="333333"/>
            </w:tcBorders>
            <w:shd w:val="clear" w:color="auto" w:fill="D9D9D9"/>
            <w:hideMark/>
          </w:tcPr>
          <w:p w14:paraId="61187D9C" w14:textId="77777777" w:rsidR="00F31E61" w:rsidRPr="00B632F8" w:rsidRDefault="00F31E61" w:rsidP="000A6530">
            <w:pPr>
              <w:spacing w:before="60" w:after="60"/>
              <w:rPr>
                <w:rFonts w:ascii="Calibri Light" w:hAnsi="Calibri Light" w:cs="Calibri Light"/>
              </w:rPr>
            </w:pPr>
            <w:r w:rsidRPr="00B632F8">
              <w:rPr>
                <w:rFonts w:ascii="Calibri Light" w:hAnsi="Calibri Light" w:cs="Calibri Light"/>
              </w:rPr>
              <w:t>Organisation:</w:t>
            </w:r>
          </w:p>
        </w:tc>
        <w:tc>
          <w:tcPr>
            <w:tcW w:w="6616" w:type="dxa"/>
            <w:tcBorders>
              <w:top w:val="single" w:sz="4" w:space="0" w:color="333333"/>
              <w:left w:val="single" w:sz="4" w:space="0" w:color="333333"/>
              <w:bottom w:val="single" w:sz="4" w:space="0" w:color="333333"/>
              <w:right w:val="single" w:sz="4" w:space="0" w:color="333333"/>
            </w:tcBorders>
            <w:shd w:val="clear" w:color="auto" w:fill="auto"/>
            <w:hideMark/>
          </w:tcPr>
          <w:p w14:paraId="0397AE4E" w14:textId="77777777" w:rsidR="00F31E61" w:rsidRPr="00B632F8" w:rsidRDefault="00F31E61" w:rsidP="000A6530">
            <w:pPr>
              <w:spacing w:before="60" w:after="60"/>
              <w:rPr>
                <w:rFonts w:ascii="Calibri" w:hAnsi="Calibri" w:cs="Calibri"/>
              </w:rPr>
            </w:pPr>
            <w:r w:rsidRPr="00B632F8">
              <w:rPr>
                <w:rFonts w:ascii="Calibri" w:hAnsi="Calibri" w:cs="Calibri"/>
              </w:rPr>
              <w:t>Southport and Formby Health Limited</w:t>
            </w:r>
          </w:p>
        </w:tc>
      </w:tr>
      <w:tr w:rsidR="00F31E61" w:rsidRPr="00B632F8" w14:paraId="464686A7" w14:textId="77777777" w:rsidTr="000A6530">
        <w:tc>
          <w:tcPr>
            <w:tcW w:w="2972" w:type="dxa"/>
            <w:tcBorders>
              <w:top w:val="single" w:sz="4" w:space="0" w:color="333333"/>
              <w:left w:val="single" w:sz="4" w:space="0" w:color="333333"/>
              <w:bottom w:val="single" w:sz="4" w:space="0" w:color="333333"/>
              <w:right w:val="single" w:sz="4" w:space="0" w:color="333333"/>
            </w:tcBorders>
            <w:shd w:val="clear" w:color="auto" w:fill="D9D9D9"/>
            <w:hideMark/>
          </w:tcPr>
          <w:p w14:paraId="30F435FC" w14:textId="77777777" w:rsidR="00F31E61" w:rsidRPr="00B632F8" w:rsidRDefault="00F31E61" w:rsidP="000A6530">
            <w:pPr>
              <w:spacing w:before="60" w:after="60"/>
              <w:rPr>
                <w:rFonts w:ascii="Calibri Light" w:hAnsi="Calibri Light" w:cs="Calibri Light"/>
              </w:rPr>
            </w:pPr>
            <w:r w:rsidRPr="00B632F8">
              <w:rPr>
                <w:rFonts w:ascii="Calibri Light" w:hAnsi="Calibri Light" w:cs="Calibri Light"/>
              </w:rPr>
              <w:t>Document Reference:</w:t>
            </w:r>
          </w:p>
        </w:tc>
        <w:tc>
          <w:tcPr>
            <w:tcW w:w="6616" w:type="dxa"/>
            <w:tcBorders>
              <w:top w:val="single" w:sz="4" w:space="0" w:color="333333"/>
              <w:left w:val="single" w:sz="4" w:space="0" w:color="333333"/>
              <w:bottom w:val="single" w:sz="4" w:space="0" w:color="333333"/>
              <w:right w:val="single" w:sz="4" w:space="0" w:color="333333"/>
            </w:tcBorders>
            <w:shd w:val="clear" w:color="auto" w:fill="auto"/>
            <w:hideMark/>
          </w:tcPr>
          <w:p w14:paraId="23C7E26F" w14:textId="65882BD5" w:rsidR="00F31E61" w:rsidRPr="00B632F8" w:rsidRDefault="00F31E61" w:rsidP="000A6530">
            <w:pPr>
              <w:spacing w:before="60" w:after="60"/>
              <w:rPr>
                <w:rFonts w:ascii="Calibri" w:hAnsi="Calibri" w:cs="Calibri"/>
              </w:rPr>
            </w:pPr>
            <w:r>
              <w:rPr>
                <w:rFonts w:ascii="Calibri" w:hAnsi="Calibri" w:cs="Calibri"/>
              </w:rPr>
              <w:t>09 IG</w:t>
            </w:r>
            <w:r w:rsidR="0070350A">
              <w:rPr>
                <w:rFonts w:ascii="Calibri" w:hAnsi="Calibri" w:cs="Calibri"/>
              </w:rPr>
              <w:t xml:space="preserve"> 1.2.1 </w:t>
            </w:r>
            <w:r w:rsidR="00C85330">
              <w:rPr>
                <w:rFonts w:ascii="Calibri" w:hAnsi="Calibri" w:cs="Calibri"/>
              </w:rPr>
              <w:t xml:space="preserve">Patient </w:t>
            </w:r>
            <w:r w:rsidR="00BD1E98">
              <w:rPr>
                <w:rFonts w:ascii="Calibri" w:hAnsi="Calibri" w:cs="Calibri"/>
              </w:rPr>
              <w:t>A</w:t>
            </w:r>
            <w:r w:rsidR="00C85330">
              <w:rPr>
                <w:rFonts w:ascii="Calibri" w:hAnsi="Calibri" w:cs="Calibri"/>
              </w:rPr>
              <w:t xml:space="preserve">ccess to </w:t>
            </w:r>
            <w:r w:rsidR="00BD1E98">
              <w:rPr>
                <w:rFonts w:ascii="Calibri" w:hAnsi="Calibri" w:cs="Calibri"/>
              </w:rPr>
              <w:t>Medical Records</w:t>
            </w:r>
          </w:p>
        </w:tc>
      </w:tr>
      <w:tr w:rsidR="00F31E61" w:rsidRPr="00B632F8" w14:paraId="6CC82072" w14:textId="77777777" w:rsidTr="000A6530">
        <w:tc>
          <w:tcPr>
            <w:tcW w:w="2972" w:type="dxa"/>
            <w:tcBorders>
              <w:top w:val="single" w:sz="4" w:space="0" w:color="333333"/>
              <w:left w:val="single" w:sz="4" w:space="0" w:color="333333"/>
              <w:bottom w:val="single" w:sz="4" w:space="0" w:color="333333"/>
              <w:right w:val="single" w:sz="4" w:space="0" w:color="333333"/>
            </w:tcBorders>
            <w:shd w:val="clear" w:color="auto" w:fill="D9D9D9"/>
            <w:hideMark/>
          </w:tcPr>
          <w:p w14:paraId="1AA895B4" w14:textId="77777777" w:rsidR="00F31E61" w:rsidRPr="00B632F8" w:rsidRDefault="00F31E61" w:rsidP="000A6530">
            <w:pPr>
              <w:spacing w:before="60" w:after="60"/>
              <w:rPr>
                <w:rFonts w:ascii="Calibri Light" w:hAnsi="Calibri Light" w:cs="Calibri Light"/>
              </w:rPr>
            </w:pPr>
            <w:r>
              <w:rPr>
                <w:rFonts w:ascii="Calibri Light" w:hAnsi="Calibri Light" w:cs="Calibri Light"/>
              </w:rPr>
              <w:t>Initial</w:t>
            </w:r>
            <w:r w:rsidRPr="00B632F8">
              <w:rPr>
                <w:rFonts w:ascii="Calibri Light" w:hAnsi="Calibri Light" w:cs="Calibri Light"/>
              </w:rPr>
              <w:t xml:space="preserve"> Version Number:</w:t>
            </w:r>
          </w:p>
        </w:tc>
        <w:tc>
          <w:tcPr>
            <w:tcW w:w="6616" w:type="dxa"/>
            <w:tcBorders>
              <w:top w:val="single" w:sz="4" w:space="0" w:color="333333"/>
              <w:left w:val="single" w:sz="4" w:space="0" w:color="333333"/>
              <w:bottom w:val="single" w:sz="4" w:space="0" w:color="333333"/>
              <w:right w:val="single" w:sz="4" w:space="0" w:color="333333"/>
            </w:tcBorders>
            <w:shd w:val="clear" w:color="auto" w:fill="auto"/>
            <w:hideMark/>
          </w:tcPr>
          <w:p w14:paraId="5083D67C" w14:textId="58E5F3BA" w:rsidR="00F31E61" w:rsidRPr="00B632F8" w:rsidRDefault="00F31E61" w:rsidP="000A6530">
            <w:pPr>
              <w:spacing w:before="60" w:after="60"/>
              <w:rPr>
                <w:rFonts w:ascii="Calibri" w:hAnsi="Calibri" w:cs="Calibri"/>
              </w:rPr>
            </w:pPr>
            <w:r w:rsidRPr="00B632F8">
              <w:rPr>
                <w:rFonts w:ascii="Calibri" w:hAnsi="Calibri" w:cs="Calibri"/>
              </w:rPr>
              <w:t>1.</w:t>
            </w:r>
            <w:r w:rsidR="00152136">
              <w:rPr>
                <w:rFonts w:ascii="Calibri" w:hAnsi="Calibri" w:cs="Calibri"/>
              </w:rPr>
              <w:t xml:space="preserve">2 </w:t>
            </w:r>
            <w:r w:rsidR="002270D9">
              <w:rPr>
                <w:rFonts w:ascii="Calibri" w:hAnsi="Calibri" w:cs="Calibri"/>
              </w:rPr>
              <w:t>– adopted from DPO IG toolkit</w:t>
            </w:r>
            <w:r w:rsidR="00152136">
              <w:rPr>
                <w:rFonts w:ascii="Calibri" w:hAnsi="Calibri" w:cs="Calibri"/>
              </w:rPr>
              <w:t xml:space="preserve"> </w:t>
            </w:r>
          </w:p>
        </w:tc>
      </w:tr>
      <w:tr w:rsidR="00F31E61" w:rsidRPr="00B632F8" w14:paraId="58C47260" w14:textId="77777777" w:rsidTr="000A6530">
        <w:tc>
          <w:tcPr>
            <w:tcW w:w="2972" w:type="dxa"/>
            <w:tcBorders>
              <w:top w:val="single" w:sz="4" w:space="0" w:color="333333"/>
              <w:left w:val="single" w:sz="4" w:space="0" w:color="333333"/>
              <w:bottom w:val="single" w:sz="4" w:space="0" w:color="333333"/>
              <w:right w:val="single" w:sz="4" w:space="0" w:color="333333"/>
            </w:tcBorders>
            <w:shd w:val="clear" w:color="auto" w:fill="D9D9D9"/>
            <w:hideMark/>
          </w:tcPr>
          <w:p w14:paraId="5491A79B" w14:textId="77777777" w:rsidR="00F31E61" w:rsidRPr="00B632F8" w:rsidRDefault="00F31E61" w:rsidP="000A6530">
            <w:pPr>
              <w:spacing w:before="60" w:after="60"/>
              <w:rPr>
                <w:rFonts w:ascii="Calibri Light" w:hAnsi="Calibri Light" w:cs="Calibri Light"/>
              </w:rPr>
            </w:pPr>
            <w:r>
              <w:rPr>
                <w:rFonts w:ascii="Calibri Light" w:hAnsi="Calibri Light" w:cs="Calibri Light"/>
              </w:rPr>
              <w:t>Initial D</w:t>
            </w:r>
            <w:r w:rsidRPr="00B632F8">
              <w:rPr>
                <w:rFonts w:ascii="Calibri Light" w:hAnsi="Calibri Light" w:cs="Calibri Light"/>
              </w:rPr>
              <w:t>ocument Approved By:</w:t>
            </w:r>
          </w:p>
        </w:tc>
        <w:tc>
          <w:tcPr>
            <w:tcW w:w="6616" w:type="dxa"/>
            <w:tcBorders>
              <w:top w:val="single" w:sz="4" w:space="0" w:color="333333"/>
              <w:left w:val="single" w:sz="4" w:space="0" w:color="333333"/>
              <w:bottom w:val="single" w:sz="4" w:space="0" w:color="333333"/>
              <w:right w:val="single" w:sz="4" w:space="0" w:color="333333"/>
            </w:tcBorders>
            <w:shd w:val="clear" w:color="auto" w:fill="auto"/>
            <w:hideMark/>
          </w:tcPr>
          <w:p w14:paraId="72D7B840" w14:textId="77777777" w:rsidR="00F31E61" w:rsidRPr="00B632F8" w:rsidRDefault="00F31E61" w:rsidP="000A6530">
            <w:pPr>
              <w:spacing w:before="60" w:after="60"/>
              <w:rPr>
                <w:rFonts w:ascii="Calibri" w:hAnsi="Calibri" w:cs="Calibri"/>
              </w:rPr>
            </w:pPr>
            <w:r w:rsidRPr="00B632F8">
              <w:rPr>
                <w:rFonts w:ascii="Calibri" w:hAnsi="Calibri" w:cs="Calibri"/>
              </w:rPr>
              <w:t>Board Meeting</w:t>
            </w:r>
          </w:p>
        </w:tc>
      </w:tr>
      <w:tr w:rsidR="00F31E61" w:rsidRPr="00B632F8" w14:paraId="32DF148E" w14:textId="77777777" w:rsidTr="000A6530">
        <w:tc>
          <w:tcPr>
            <w:tcW w:w="2972" w:type="dxa"/>
            <w:tcBorders>
              <w:top w:val="single" w:sz="4" w:space="0" w:color="333333"/>
              <w:left w:val="single" w:sz="4" w:space="0" w:color="333333"/>
              <w:bottom w:val="single" w:sz="4" w:space="0" w:color="333333"/>
              <w:right w:val="single" w:sz="4" w:space="0" w:color="333333"/>
            </w:tcBorders>
            <w:shd w:val="clear" w:color="auto" w:fill="D9D9D9"/>
            <w:hideMark/>
          </w:tcPr>
          <w:p w14:paraId="0364A1EC" w14:textId="77777777" w:rsidR="00F31E61" w:rsidRPr="00B632F8" w:rsidRDefault="00F31E61" w:rsidP="000A6530">
            <w:pPr>
              <w:spacing w:before="60" w:after="60"/>
              <w:rPr>
                <w:rFonts w:ascii="Calibri Light" w:hAnsi="Calibri Light" w:cs="Calibri Light"/>
              </w:rPr>
            </w:pPr>
            <w:r w:rsidRPr="00B632F8">
              <w:rPr>
                <w:rFonts w:ascii="Calibri Light" w:hAnsi="Calibri Light" w:cs="Calibri Light"/>
              </w:rPr>
              <w:t>Date Approved:</w:t>
            </w:r>
          </w:p>
        </w:tc>
        <w:tc>
          <w:tcPr>
            <w:tcW w:w="6616" w:type="dxa"/>
            <w:tcBorders>
              <w:top w:val="single" w:sz="4" w:space="0" w:color="333333"/>
              <w:left w:val="single" w:sz="4" w:space="0" w:color="333333"/>
              <w:bottom w:val="single" w:sz="4" w:space="0" w:color="333333"/>
              <w:right w:val="single" w:sz="4" w:space="0" w:color="333333"/>
            </w:tcBorders>
            <w:shd w:val="clear" w:color="auto" w:fill="auto"/>
            <w:hideMark/>
          </w:tcPr>
          <w:p w14:paraId="46A4946E" w14:textId="77777777" w:rsidR="00F31E61" w:rsidRPr="00B632F8" w:rsidRDefault="00F31E61" w:rsidP="000A6530">
            <w:pPr>
              <w:spacing w:before="60" w:after="60"/>
              <w:rPr>
                <w:rFonts w:ascii="Calibri" w:hAnsi="Calibri" w:cs="Calibri"/>
              </w:rPr>
            </w:pPr>
            <w:r>
              <w:rPr>
                <w:rFonts w:ascii="Calibri" w:hAnsi="Calibri" w:cs="Calibri"/>
              </w:rPr>
              <w:t>March 2019</w:t>
            </w:r>
          </w:p>
        </w:tc>
      </w:tr>
      <w:tr w:rsidR="00F31E61" w:rsidRPr="00B632F8" w14:paraId="19C9F66A" w14:textId="77777777" w:rsidTr="000A6530">
        <w:tc>
          <w:tcPr>
            <w:tcW w:w="2972" w:type="dxa"/>
            <w:tcBorders>
              <w:top w:val="single" w:sz="4" w:space="0" w:color="333333"/>
              <w:left w:val="single" w:sz="4" w:space="0" w:color="333333"/>
              <w:bottom w:val="single" w:sz="4" w:space="0" w:color="333333"/>
              <w:right w:val="single" w:sz="4" w:space="0" w:color="333333"/>
            </w:tcBorders>
            <w:shd w:val="clear" w:color="auto" w:fill="D9D9D9"/>
          </w:tcPr>
          <w:p w14:paraId="33246833" w14:textId="77777777" w:rsidR="00F31E61" w:rsidRPr="00B632F8" w:rsidRDefault="00F31E61" w:rsidP="000A6530">
            <w:pPr>
              <w:spacing w:before="60" w:after="60"/>
              <w:rPr>
                <w:rFonts w:ascii="Calibri Light" w:hAnsi="Calibri Light" w:cs="Calibri Light"/>
              </w:rPr>
            </w:pPr>
            <w:r>
              <w:rPr>
                <w:rFonts w:ascii="Calibri Light" w:hAnsi="Calibri Light" w:cs="Calibri Light"/>
              </w:rPr>
              <w:t>Date of first review</w:t>
            </w:r>
          </w:p>
        </w:tc>
        <w:tc>
          <w:tcPr>
            <w:tcW w:w="6616" w:type="dxa"/>
            <w:tcBorders>
              <w:top w:val="single" w:sz="4" w:space="0" w:color="333333"/>
              <w:left w:val="single" w:sz="4" w:space="0" w:color="333333"/>
              <w:bottom w:val="single" w:sz="4" w:space="0" w:color="333333"/>
              <w:right w:val="single" w:sz="4" w:space="0" w:color="333333"/>
            </w:tcBorders>
            <w:shd w:val="clear" w:color="auto" w:fill="auto"/>
          </w:tcPr>
          <w:p w14:paraId="16BE337D" w14:textId="77777777" w:rsidR="00F31E61" w:rsidRDefault="00F31E61" w:rsidP="000A6530">
            <w:pPr>
              <w:spacing w:before="60" w:after="60"/>
              <w:rPr>
                <w:rFonts w:ascii="Calibri" w:hAnsi="Calibri" w:cs="Calibri"/>
              </w:rPr>
            </w:pPr>
            <w:r>
              <w:rPr>
                <w:rFonts w:ascii="Calibri" w:hAnsi="Calibri" w:cs="Calibri"/>
              </w:rPr>
              <w:t>March 2020</w:t>
            </w:r>
          </w:p>
        </w:tc>
      </w:tr>
    </w:tbl>
    <w:p w14:paraId="73FEF63B" w14:textId="77777777" w:rsidR="00F31E61" w:rsidRPr="00B632F8" w:rsidRDefault="00F31E61" w:rsidP="00F31E61">
      <w:pPr>
        <w:rPr>
          <w:rFonts w:ascii="Calibri" w:hAnsi="Calibri" w:cs="Calibri"/>
        </w:rPr>
      </w:pPr>
    </w:p>
    <w:p w14:paraId="17391857" w14:textId="2CF288EA" w:rsidR="00F31E61" w:rsidRDefault="00F31E61" w:rsidP="00F31E61">
      <w:pPr>
        <w:spacing w:before="160"/>
        <w:rPr>
          <w:rFonts w:ascii="Calibri Light" w:hAnsi="Calibri Light" w:cs="Calibri Light"/>
        </w:rPr>
      </w:pPr>
      <w:r w:rsidRPr="00021EFC">
        <w:rPr>
          <w:rFonts w:ascii="Calibri Light" w:hAnsi="Calibri Light" w:cs="Calibri Light"/>
        </w:rPr>
        <w:t>C.</w:t>
      </w:r>
      <w:r w:rsidRPr="00021EFC">
        <w:rPr>
          <w:rFonts w:ascii="Calibri Light" w:hAnsi="Calibri Light" w:cs="Calibri Light"/>
        </w:rPr>
        <w:tab/>
        <w:t>Document Revision History</w:t>
      </w:r>
      <w:r>
        <w:rPr>
          <w:rFonts w:ascii="Calibri Light" w:hAnsi="Calibri Light" w:cs="Calibri Light"/>
        </w:rPr>
        <w:t>:</w:t>
      </w:r>
    </w:p>
    <w:tbl>
      <w:tblPr>
        <w:tblW w:w="9498" w:type="dxa"/>
        <w:tblInd w:w="108" w:type="dxa"/>
        <w:tblLayout w:type="fixed"/>
        <w:tblLook w:val="0000" w:firstRow="0" w:lastRow="0" w:firstColumn="0" w:lastColumn="0" w:noHBand="0" w:noVBand="0"/>
      </w:tblPr>
      <w:tblGrid>
        <w:gridCol w:w="1440"/>
        <w:gridCol w:w="1679"/>
        <w:gridCol w:w="6379"/>
      </w:tblGrid>
      <w:tr w:rsidR="00523240" w:rsidRPr="003A3511" w14:paraId="200BAB6E" w14:textId="77777777" w:rsidTr="00523240">
        <w:trPr>
          <w:cantSplit/>
          <w:trHeight w:val="405"/>
        </w:trPr>
        <w:tc>
          <w:tcPr>
            <w:tcW w:w="1440" w:type="dxa"/>
            <w:tcBorders>
              <w:top w:val="single" w:sz="6" w:space="0" w:color="auto"/>
              <w:left w:val="single" w:sz="6" w:space="0" w:color="auto"/>
              <w:bottom w:val="single" w:sz="6" w:space="0" w:color="auto"/>
              <w:right w:val="single" w:sz="6" w:space="0" w:color="auto"/>
            </w:tcBorders>
          </w:tcPr>
          <w:p w14:paraId="2A07BC47" w14:textId="77777777" w:rsidR="00523240" w:rsidRPr="003A3511" w:rsidRDefault="00523240" w:rsidP="00752907">
            <w:pPr>
              <w:spacing w:after="0" w:line="240" w:lineRule="auto"/>
              <w:rPr>
                <w:rFonts w:ascii="Calibri" w:eastAsia="Times New Roman" w:hAnsi="Calibri" w:cs="Calibri"/>
              </w:rPr>
            </w:pPr>
            <w:r w:rsidRPr="003A3511">
              <w:rPr>
                <w:rFonts w:ascii="Calibri" w:eastAsia="Times New Roman" w:hAnsi="Calibri" w:cs="Calibri"/>
              </w:rPr>
              <w:t>Version</w:t>
            </w:r>
          </w:p>
        </w:tc>
        <w:tc>
          <w:tcPr>
            <w:tcW w:w="1679" w:type="dxa"/>
            <w:tcBorders>
              <w:top w:val="single" w:sz="6" w:space="0" w:color="auto"/>
              <w:left w:val="single" w:sz="6" w:space="0" w:color="auto"/>
              <w:bottom w:val="single" w:sz="6" w:space="0" w:color="auto"/>
              <w:right w:val="single" w:sz="6" w:space="0" w:color="auto"/>
            </w:tcBorders>
          </w:tcPr>
          <w:p w14:paraId="05CECAC3" w14:textId="77777777" w:rsidR="00523240" w:rsidRPr="003A3511" w:rsidRDefault="00523240" w:rsidP="00752907">
            <w:pPr>
              <w:spacing w:after="0" w:line="240" w:lineRule="auto"/>
              <w:rPr>
                <w:rFonts w:ascii="Calibri" w:eastAsia="Times New Roman" w:hAnsi="Calibri" w:cs="Calibri"/>
              </w:rPr>
            </w:pPr>
            <w:r w:rsidRPr="003A3511">
              <w:rPr>
                <w:rFonts w:ascii="Calibri" w:eastAsia="Times New Roman" w:hAnsi="Calibri" w:cs="Calibri"/>
              </w:rPr>
              <w:t>Revision date</w:t>
            </w:r>
          </w:p>
        </w:tc>
        <w:tc>
          <w:tcPr>
            <w:tcW w:w="6379" w:type="dxa"/>
            <w:tcBorders>
              <w:top w:val="single" w:sz="6" w:space="0" w:color="auto"/>
              <w:left w:val="single" w:sz="6" w:space="0" w:color="auto"/>
              <w:bottom w:val="single" w:sz="6" w:space="0" w:color="auto"/>
              <w:right w:val="single" w:sz="6" w:space="0" w:color="auto"/>
            </w:tcBorders>
          </w:tcPr>
          <w:p w14:paraId="69453B95" w14:textId="77777777" w:rsidR="00523240" w:rsidRPr="003A3511" w:rsidRDefault="00523240" w:rsidP="00752907">
            <w:pPr>
              <w:spacing w:after="0" w:line="240" w:lineRule="auto"/>
              <w:rPr>
                <w:rFonts w:ascii="Calibri" w:eastAsia="Times New Roman" w:hAnsi="Calibri" w:cs="Calibri"/>
              </w:rPr>
            </w:pPr>
            <w:r w:rsidRPr="003A3511">
              <w:rPr>
                <w:rFonts w:ascii="Calibri" w:eastAsia="Times New Roman" w:hAnsi="Calibri" w:cs="Calibri"/>
              </w:rPr>
              <w:t>Summary of Changes</w:t>
            </w:r>
          </w:p>
        </w:tc>
      </w:tr>
      <w:tr w:rsidR="00523240" w:rsidRPr="003A3511" w14:paraId="0760B572" w14:textId="77777777" w:rsidTr="00523240">
        <w:trPr>
          <w:cantSplit/>
          <w:trHeight w:val="218"/>
        </w:trPr>
        <w:tc>
          <w:tcPr>
            <w:tcW w:w="1440" w:type="dxa"/>
            <w:tcBorders>
              <w:top w:val="single" w:sz="6" w:space="0" w:color="auto"/>
              <w:left w:val="single" w:sz="6" w:space="0" w:color="auto"/>
              <w:bottom w:val="single" w:sz="6" w:space="0" w:color="auto"/>
              <w:right w:val="single" w:sz="6" w:space="0" w:color="auto"/>
            </w:tcBorders>
          </w:tcPr>
          <w:p w14:paraId="6883E1D5" w14:textId="77777777" w:rsidR="00523240" w:rsidRPr="003A3511" w:rsidRDefault="00523240" w:rsidP="00752907">
            <w:pPr>
              <w:spacing w:after="0" w:line="240" w:lineRule="auto"/>
              <w:rPr>
                <w:rFonts w:ascii="Calibri" w:eastAsia="Times New Roman" w:hAnsi="Calibri" w:cs="Calibri"/>
              </w:rPr>
            </w:pPr>
            <w:r>
              <w:rPr>
                <w:rFonts w:ascii="Calibri" w:eastAsia="Times New Roman" w:hAnsi="Calibri" w:cs="Calibri"/>
              </w:rPr>
              <w:t>1.3</w:t>
            </w:r>
          </w:p>
        </w:tc>
        <w:tc>
          <w:tcPr>
            <w:tcW w:w="1679" w:type="dxa"/>
            <w:tcBorders>
              <w:top w:val="single" w:sz="6" w:space="0" w:color="auto"/>
              <w:left w:val="single" w:sz="6" w:space="0" w:color="auto"/>
              <w:bottom w:val="single" w:sz="6" w:space="0" w:color="auto"/>
              <w:right w:val="single" w:sz="6" w:space="0" w:color="auto"/>
            </w:tcBorders>
          </w:tcPr>
          <w:p w14:paraId="267B88AA" w14:textId="2E461395" w:rsidR="00523240" w:rsidRPr="003A3511" w:rsidRDefault="00523240" w:rsidP="00752907">
            <w:pPr>
              <w:spacing w:after="0" w:line="240" w:lineRule="auto"/>
              <w:rPr>
                <w:rFonts w:ascii="Calibri" w:eastAsia="Times New Roman" w:hAnsi="Calibri" w:cs="Calibri"/>
              </w:rPr>
            </w:pPr>
            <w:r>
              <w:rPr>
                <w:rFonts w:ascii="Calibri" w:eastAsia="Times New Roman" w:hAnsi="Calibri" w:cs="Calibri"/>
              </w:rPr>
              <w:t>13/09/20</w:t>
            </w:r>
            <w:r>
              <w:rPr>
                <w:rFonts w:ascii="Calibri" w:eastAsia="Times New Roman" w:hAnsi="Calibri" w:cs="Calibri"/>
              </w:rPr>
              <w:t>20</w:t>
            </w:r>
          </w:p>
        </w:tc>
        <w:tc>
          <w:tcPr>
            <w:tcW w:w="6379" w:type="dxa"/>
            <w:tcBorders>
              <w:top w:val="single" w:sz="6" w:space="0" w:color="auto"/>
              <w:left w:val="single" w:sz="6" w:space="0" w:color="auto"/>
              <w:bottom w:val="single" w:sz="6" w:space="0" w:color="auto"/>
              <w:right w:val="single" w:sz="6" w:space="0" w:color="auto"/>
            </w:tcBorders>
          </w:tcPr>
          <w:p w14:paraId="6C36A4E4" w14:textId="77777777" w:rsidR="00523240" w:rsidRPr="003A3511" w:rsidRDefault="00523240" w:rsidP="00752907">
            <w:pPr>
              <w:spacing w:after="0" w:line="240" w:lineRule="auto"/>
              <w:rPr>
                <w:rFonts w:ascii="Calibri" w:eastAsia="Times New Roman" w:hAnsi="Calibri" w:cs="Calibri"/>
              </w:rPr>
            </w:pPr>
            <w:r>
              <w:rPr>
                <w:rFonts w:ascii="Calibri" w:eastAsia="Times New Roman" w:hAnsi="Calibri" w:cs="Calibri"/>
              </w:rPr>
              <w:t>Reviewed</w:t>
            </w:r>
          </w:p>
        </w:tc>
      </w:tr>
      <w:tr w:rsidR="00523240" w:rsidRPr="003A3511" w14:paraId="6B0D1D33" w14:textId="77777777" w:rsidTr="00523240">
        <w:trPr>
          <w:cantSplit/>
          <w:trHeight w:val="218"/>
        </w:trPr>
        <w:tc>
          <w:tcPr>
            <w:tcW w:w="1440" w:type="dxa"/>
            <w:tcBorders>
              <w:top w:val="single" w:sz="6" w:space="0" w:color="auto"/>
              <w:left w:val="single" w:sz="6" w:space="0" w:color="auto"/>
              <w:bottom w:val="single" w:sz="6" w:space="0" w:color="auto"/>
              <w:right w:val="single" w:sz="6" w:space="0" w:color="auto"/>
            </w:tcBorders>
          </w:tcPr>
          <w:p w14:paraId="241D7835" w14:textId="77777777" w:rsidR="00523240" w:rsidRPr="003A3511" w:rsidRDefault="00523240" w:rsidP="00752907">
            <w:pPr>
              <w:spacing w:after="0" w:line="240" w:lineRule="auto"/>
              <w:rPr>
                <w:rFonts w:ascii="Calibri" w:eastAsia="Times New Roman" w:hAnsi="Calibri" w:cs="Calibri"/>
              </w:rPr>
            </w:pPr>
            <w:r>
              <w:rPr>
                <w:rFonts w:ascii="Calibri" w:eastAsia="Times New Roman" w:hAnsi="Calibri" w:cs="Calibri"/>
              </w:rPr>
              <w:t>1.4</w:t>
            </w:r>
          </w:p>
        </w:tc>
        <w:tc>
          <w:tcPr>
            <w:tcW w:w="1679" w:type="dxa"/>
            <w:tcBorders>
              <w:top w:val="single" w:sz="6" w:space="0" w:color="auto"/>
              <w:left w:val="single" w:sz="6" w:space="0" w:color="auto"/>
              <w:bottom w:val="single" w:sz="6" w:space="0" w:color="auto"/>
              <w:right w:val="single" w:sz="6" w:space="0" w:color="auto"/>
            </w:tcBorders>
          </w:tcPr>
          <w:p w14:paraId="19996006" w14:textId="77777777" w:rsidR="00523240" w:rsidRPr="003A3511" w:rsidRDefault="00523240" w:rsidP="00752907">
            <w:pPr>
              <w:spacing w:after="0" w:line="240" w:lineRule="auto"/>
              <w:rPr>
                <w:rFonts w:ascii="Calibri" w:eastAsia="Times New Roman" w:hAnsi="Calibri" w:cs="Calibri"/>
              </w:rPr>
            </w:pPr>
            <w:r>
              <w:rPr>
                <w:rFonts w:ascii="Calibri" w:eastAsia="Times New Roman" w:hAnsi="Calibri" w:cs="Calibri"/>
              </w:rPr>
              <w:t>16/05/2021</w:t>
            </w:r>
          </w:p>
        </w:tc>
        <w:tc>
          <w:tcPr>
            <w:tcW w:w="6379" w:type="dxa"/>
            <w:tcBorders>
              <w:top w:val="single" w:sz="6" w:space="0" w:color="auto"/>
              <w:left w:val="single" w:sz="6" w:space="0" w:color="auto"/>
              <w:bottom w:val="single" w:sz="6" w:space="0" w:color="auto"/>
              <w:right w:val="single" w:sz="6" w:space="0" w:color="auto"/>
            </w:tcBorders>
          </w:tcPr>
          <w:p w14:paraId="2C0586B2" w14:textId="77777777" w:rsidR="00523240" w:rsidRPr="003A3511" w:rsidRDefault="00523240" w:rsidP="00752907">
            <w:pPr>
              <w:spacing w:after="0" w:line="240" w:lineRule="auto"/>
              <w:rPr>
                <w:rFonts w:ascii="Calibri" w:eastAsia="Times New Roman" w:hAnsi="Calibri" w:cs="Calibri"/>
              </w:rPr>
            </w:pPr>
            <w:r>
              <w:rPr>
                <w:rFonts w:ascii="Calibri" w:eastAsia="Times New Roman" w:hAnsi="Calibri" w:cs="Calibri"/>
              </w:rPr>
              <w:t>Reviewed and dates updated</w:t>
            </w:r>
          </w:p>
        </w:tc>
      </w:tr>
      <w:tr w:rsidR="00523240" w:rsidRPr="003A3511" w14:paraId="1FBFB905" w14:textId="77777777" w:rsidTr="00523240">
        <w:trPr>
          <w:cantSplit/>
          <w:trHeight w:val="218"/>
        </w:trPr>
        <w:tc>
          <w:tcPr>
            <w:tcW w:w="1440" w:type="dxa"/>
            <w:tcBorders>
              <w:top w:val="single" w:sz="6" w:space="0" w:color="auto"/>
              <w:left w:val="single" w:sz="6" w:space="0" w:color="auto"/>
              <w:bottom w:val="single" w:sz="6" w:space="0" w:color="auto"/>
              <w:right w:val="single" w:sz="6" w:space="0" w:color="auto"/>
            </w:tcBorders>
          </w:tcPr>
          <w:p w14:paraId="712612C1" w14:textId="77777777" w:rsidR="00523240" w:rsidRDefault="00523240" w:rsidP="00752907">
            <w:pPr>
              <w:spacing w:after="0" w:line="240" w:lineRule="auto"/>
              <w:rPr>
                <w:rFonts w:ascii="Calibri" w:eastAsia="Times New Roman" w:hAnsi="Calibri" w:cs="Calibri"/>
              </w:rPr>
            </w:pPr>
          </w:p>
        </w:tc>
        <w:tc>
          <w:tcPr>
            <w:tcW w:w="1679" w:type="dxa"/>
            <w:tcBorders>
              <w:top w:val="single" w:sz="6" w:space="0" w:color="auto"/>
              <w:left w:val="single" w:sz="6" w:space="0" w:color="auto"/>
              <w:bottom w:val="single" w:sz="6" w:space="0" w:color="auto"/>
              <w:right w:val="single" w:sz="6" w:space="0" w:color="auto"/>
            </w:tcBorders>
          </w:tcPr>
          <w:p w14:paraId="5CAA5F3C" w14:textId="77777777" w:rsidR="00523240" w:rsidRDefault="00523240" w:rsidP="00752907">
            <w:pPr>
              <w:spacing w:after="0" w:line="240" w:lineRule="auto"/>
              <w:rPr>
                <w:rFonts w:ascii="Calibri" w:eastAsia="Times New Roman" w:hAnsi="Calibri" w:cs="Calibri"/>
              </w:rPr>
            </w:pPr>
          </w:p>
        </w:tc>
        <w:tc>
          <w:tcPr>
            <w:tcW w:w="6379" w:type="dxa"/>
            <w:tcBorders>
              <w:top w:val="single" w:sz="6" w:space="0" w:color="auto"/>
              <w:left w:val="single" w:sz="6" w:space="0" w:color="auto"/>
              <w:bottom w:val="single" w:sz="6" w:space="0" w:color="auto"/>
              <w:right w:val="single" w:sz="6" w:space="0" w:color="auto"/>
            </w:tcBorders>
          </w:tcPr>
          <w:p w14:paraId="0F147B02" w14:textId="77777777" w:rsidR="00523240" w:rsidRPr="003A3511" w:rsidRDefault="00523240" w:rsidP="00752907">
            <w:pPr>
              <w:spacing w:after="0" w:line="240" w:lineRule="auto"/>
              <w:rPr>
                <w:rFonts w:ascii="Calibri" w:eastAsia="Times New Roman" w:hAnsi="Calibri" w:cs="Calibri"/>
              </w:rPr>
            </w:pPr>
          </w:p>
        </w:tc>
      </w:tr>
    </w:tbl>
    <w:p w14:paraId="03E96C75" w14:textId="77777777" w:rsidR="0062132B" w:rsidRDefault="0062132B" w:rsidP="00F31E61">
      <w:pPr>
        <w:spacing w:line="276" w:lineRule="auto"/>
        <w:rPr>
          <w:rFonts w:asciiTheme="majorHAnsi" w:hAnsiTheme="majorHAnsi" w:cs="Calibri"/>
        </w:rPr>
      </w:pPr>
    </w:p>
    <w:p w14:paraId="760649CE" w14:textId="0C8921FC" w:rsidR="00F31E61" w:rsidRPr="00370581" w:rsidRDefault="00F31E61" w:rsidP="00F31E61">
      <w:pPr>
        <w:spacing w:line="276" w:lineRule="auto"/>
        <w:rPr>
          <w:rFonts w:asciiTheme="majorHAnsi" w:hAnsiTheme="majorHAnsi" w:cs="Calibri"/>
        </w:rPr>
      </w:pPr>
      <w:r w:rsidRPr="00370581">
        <w:rPr>
          <w:rFonts w:asciiTheme="majorHAnsi" w:hAnsiTheme="majorHAnsi" w:cs="Calibri"/>
        </w:rPr>
        <w:t>D.</w:t>
      </w:r>
      <w:r w:rsidRPr="00370581">
        <w:rPr>
          <w:rFonts w:asciiTheme="majorHAnsi" w:hAnsiTheme="majorHAnsi" w:cs="Calibri"/>
        </w:rPr>
        <w:tab/>
        <w:t>Associated Policies and Resources</w:t>
      </w:r>
    </w:p>
    <w:p w14:paraId="6A4A57AC" w14:textId="4ABB9989" w:rsidR="00F31E61" w:rsidRDefault="00F31E61" w:rsidP="00F31E61">
      <w:pPr>
        <w:spacing w:line="276" w:lineRule="auto"/>
        <w:rPr>
          <w:rFonts w:ascii="Calibri" w:hAnsi="Calibri" w:cs="Calibri"/>
        </w:rPr>
      </w:pPr>
      <w:r>
        <w:rPr>
          <w:rFonts w:ascii="Calibri" w:hAnsi="Calibri" w:cs="Calibri"/>
        </w:rPr>
        <w:tab/>
        <w:t>Can be found on the GPTN Information Governance Policy page</w:t>
      </w:r>
    </w:p>
    <w:p w14:paraId="5CEB8A23" w14:textId="5FB7AF0E" w:rsidR="00566B52" w:rsidRPr="00913B09" w:rsidRDefault="00566B52" w:rsidP="00566B52">
      <w:pPr>
        <w:spacing w:after="0" w:line="240" w:lineRule="auto"/>
        <w:rPr>
          <w:rFonts w:eastAsia="Arial" w:cstheme="minorHAnsi"/>
          <w:color w:val="000000"/>
          <w:spacing w:val="-2"/>
          <w:sz w:val="24"/>
          <w:szCs w:val="24"/>
        </w:rPr>
      </w:pPr>
      <w:r w:rsidRPr="00913B09">
        <w:rPr>
          <w:rFonts w:eastAsia="Arial" w:cstheme="minorHAnsi"/>
          <w:color w:val="000000"/>
          <w:spacing w:val="-2"/>
          <w:sz w:val="24"/>
          <w:szCs w:val="24"/>
        </w:rPr>
        <w:br w:type="page"/>
      </w:r>
    </w:p>
    <w:p w14:paraId="5CEB8A24" w14:textId="77777777" w:rsidR="00A101A6" w:rsidRPr="00913B09" w:rsidRDefault="00A101A6" w:rsidP="00566B52">
      <w:pPr>
        <w:spacing w:after="0" w:line="240" w:lineRule="auto"/>
        <w:jc w:val="both"/>
        <w:outlineLvl w:val="1"/>
        <w:rPr>
          <w:rFonts w:eastAsia="Arial" w:cstheme="minorHAnsi"/>
          <w:b/>
          <w:color w:val="000000"/>
          <w:spacing w:val="-2"/>
          <w:sz w:val="24"/>
          <w:szCs w:val="24"/>
          <w:u w:val="single"/>
        </w:rPr>
      </w:pPr>
      <w:bookmarkStart w:id="1" w:name="Introduction"/>
    </w:p>
    <w:p w14:paraId="5CEB8A25" w14:textId="77777777" w:rsidR="00A101A6" w:rsidRPr="00913B09" w:rsidRDefault="00A101A6" w:rsidP="00566B52">
      <w:pPr>
        <w:spacing w:after="0" w:line="240" w:lineRule="auto"/>
        <w:jc w:val="both"/>
        <w:outlineLvl w:val="1"/>
        <w:rPr>
          <w:rFonts w:eastAsia="Arial" w:cstheme="minorHAnsi"/>
          <w:b/>
          <w:color w:val="000000"/>
          <w:spacing w:val="-2"/>
          <w:sz w:val="24"/>
          <w:szCs w:val="24"/>
          <w:u w:val="single"/>
        </w:rPr>
      </w:pPr>
    </w:p>
    <w:p w14:paraId="5CEB8A26" w14:textId="77777777" w:rsidR="00566B52" w:rsidRPr="002B108B" w:rsidRDefault="00566B52" w:rsidP="002B108B">
      <w:pPr>
        <w:pStyle w:val="Style3"/>
      </w:pPr>
      <w:r w:rsidRPr="002B108B">
        <w:t>Introduction</w:t>
      </w:r>
    </w:p>
    <w:bookmarkEnd w:id="1"/>
    <w:p w14:paraId="5CEB8A29" w14:textId="551F8341" w:rsidR="00566B52" w:rsidRPr="002B108B" w:rsidRDefault="0096793A" w:rsidP="002B108B">
      <w:pPr>
        <w:spacing w:after="120" w:line="240" w:lineRule="auto"/>
        <w:ind w:left="284"/>
        <w:jc w:val="both"/>
        <w:rPr>
          <w:rFonts w:eastAsia="Arial" w:cstheme="minorHAnsi"/>
          <w:color w:val="000000"/>
          <w:spacing w:val="-2"/>
        </w:rPr>
      </w:pPr>
      <w:r w:rsidRPr="00913B09">
        <w:rPr>
          <w:rFonts w:eastAsia="Arial" w:cstheme="minorHAnsi"/>
          <w:color w:val="000000"/>
          <w:spacing w:val="-2"/>
          <w:sz w:val="24"/>
          <w:szCs w:val="24"/>
        </w:rPr>
        <w:t xml:space="preserve">The Law states that </w:t>
      </w:r>
      <w:r w:rsidR="00566B52" w:rsidRPr="00913B09">
        <w:rPr>
          <w:rFonts w:eastAsia="Arial" w:cstheme="minorHAnsi"/>
          <w:color w:val="000000"/>
          <w:spacing w:val="-2"/>
          <w:sz w:val="24"/>
          <w:szCs w:val="24"/>
        </w:rPr>
        <w:t xml:space="preserve">NHS organisations must give a person access to their personal health </w:t>
      </w:r>
      <w:r w:rsidR="00566B52" w:rsidRPr="002B108B">
        <w:rPr>
          <w:rFonts w:eastAsia="Arial" w:cstheme="minorHAnsi"/>
          <w:color w:val="000000"/>
          <w:spacing w:val="-2"/>
        </w:rPr>
        <w:t xml:space="preserve">information, when it is requested. </w:t>
      </w:r>
      <w:r w:rsidR="00877D91" w:rsidRPr="002B108B">
        <w:rPr>
          <w:rFonts w:eastAsia="Arial" w:cstheme="minorHAnsi"/>
          <w:color w:val="000000"/>
          <w:spacing w:val="-2"/>
        </w:rPr>
        <w:t>Therefore,</w:t>
      </w:r>
      <w:r w:rsidR="00787602" w:rsidRPr="002B108B">
        <w:rPr>
          <w:rFonts w:eastAsia="Arial" w:cstheme="minorHAnsi"/>
          <w:color w:val="000000"/>
          <w:spacing w:val="-2"/>
        </w:rPr>
        <w:t xml:space="preserve"> a</w:t>
      </w:r>
      <w:r w:rsidR="00566B52" w:rsidRPr="002B108B">
        <w:rPr>
          <w:rFonts w:eastAsia="Arial" w:cstheme="minorHAnsi"/>
          <w:color w:val="000000"/>
          <w:spacing w:val="-2"/>
        </w:rPr>
        <w:t xml:space="preserve"> </w:t>
      </w:r>
      <w:r w:rsidR="005177B0">
        <w:rPr>
          <w:rFonts w:eastAsia="Arial" w:cstheme="minorHAnsi"/>
          <w:color w:val="000000"/>
          <w:spacing w:val="-2"/>
        </w:rPr>
        <w:t>company</w:t>
      </w:r>
      <w:r w:rsidR="00566B52" w:rsidRPr="002B108B">
        <w:rPr>
          <w:rFonts w:eastAsia="Arial" w:cstheme="minorHAnsi"/>
          <w:color w:val="000000"/>
          <w:spacing w:val="-2"/>
        </w:rPr>
        <w:t xml:space="preserve"> must have procedures in</w:t>
      </w:r>
      <w:r w:rsidR="0011441F" w:rsidRPr="002B108B">
        <w:rPr>
          <w:rFonts w:eastAsia="Arial" w:cstheme="minorHAnsi"/>
          <w:color w:val="000000"/>
          <w:spacing w:val="-2"/>
        </w:rPr>
        <w:t xml:space="preserve"> </w:t>
      </w:r>
      <w:r w:rsidR="00566B52" w:rsidRPr="002B108B">
        <w:rPr>
          <w:rFonts w:eastAsia="Arial" w:cstheme="minorHAnsi"/>
          <w:color w:val="000000"/>
          <w:spacing w:val="-2"/>
        </w:rPr>
        <w:t xml:space="preserve">place to make access to the information easy and accessible. </w:t>
      </w:r>
    </w:p>
    <w:p w14:paraId="5CEB8A2A" w14:textId="77777777" w:rsidR="00566B52" w:rsidRPr="002B108B" w:rsidRDefault="00566B52" w:rsidP="002B108B">
      <w:pPr>
        <w:spacing w:after="120" w:line="240" w:lineRule="auto"/>
        <w:ind w:left="284"/>
        <w:jc w:val="both"/>
        <w:rPr>
          <w:rFonts w:eastAsia="Arial" w:cstheme="minorHAnsi"/>
          <w:color w:val="000000"/>
          <w:spacing w:val="-2"/>
        </w:rPr>
      </w:pPr>
      <w:r w:rsidRPr="002B108B">
        <w:rPr>
          <w:rFonts w:eastAsia="Arial" w:cstheme="minorHAnsi"/>
          <w:color w:val="000000"/>
          <w:spacing w:val="-2"/>
        </w:rPr>
        <w:t>The</w:t>
      </w:r>
      <w:r w:rsidR="007675EC" w:rsidRPr="002B108B">
        <w:rPr>
          <w:rFonts w:eastAsia="Arial" w:cstheme="minorHAnsi"/>
          <w:color w:val="000000"/>
          <w:spacing w:val="-2"/>
        </w:rPr>
        <w:t xml:space="preserve">re are several areas of </w:t>
      </w:r>
      <w:r w:rsidRPr="002B108B">
        <w:rPr>
          <w:rFonts w:eastAsia="Arial" w:cstheme="minorHAnsi"/>
          <w:color w:val="000000"/>
          <w:spacing w:val="-2"/>
        </w:rPr>
        <w:t xml:space="preserve">legislation that allow the right of the individual to request such personal information are: </w:t>
      </w:r>
    </w:p>
    <w:p w14:paraId="5CEB8A2B" w14:textId="77777777" w:rsidR="00566B52" w:rsidRPr="002B108B" w:rsidRDefault="00566B52" w:rsidP="002B108B">
      <w:pPr>
        <w:numPr>
          <w:ilvl w:val="0"/>
          <w:numId w:val="2"/>
        </w:numPr>
        <w:spacing w:after="0" w:line="240" w:lineRule="auto"/>
        <w:ind w:left="1985"/>
        <w:jc w:val="both"/>
        <w:rPr>
          <w:rFonts w:eastAsia="Arial" w:cstheme="minorHAnsi"/>
          <w:color w:val="000000"/>
          <w:spacing w:val="-2"/>
        </w:rPr>
      </w:pPr>
      <w:r w:rsidRPr="002B108B">
        <w:rPr>
          <w:rFonts w:eastAsia="Arial" w:cstheme="minorHAnsi"/>
          <w:color w:val="000000"/>
          <w:spacing w:val="-2"/>
        </w:rPr>
        <w:t>The Medical Reports Act 1988</w:t>
      </w:r>
    </w:p>
    <w:p w14:paraId="5CEB8A2C" w14:textId="77777777" w:rsidR="00566B52" w:rsidRPr="002B108B" w:rsidRDefault="00566B52" w:rsidP="002B108B">
      <w:pPr>
        <w:numPr>
          <w:ilvl w:val="0"/>
          <w:numId w:val="2"/>
        </w:numPr>
        <w:spacing w:after="0" w:line="240" w:lineRule="auto"/>
        <w:ind w:left="1985"/>
        <w:jc w:val="both"/>
        <w:rPr>
          <w:rFonts w:eastAsia="Arial" w:cstheme="minorHAnsi"/>
          <w:color w:val="000000"/>
          <w:spacing w:val="-2"/>
        </w:rPr>
      </w:pPr>
      <w:r w:rsidRPr="002B108B">
        <w:rPr>
          <w:rFonts w:eastAsia="Arial" w:cstheme="minorHAnsi"/>
          <w:color w:val="000000"/>
          <w:spacing w:val="-2"/>
        </w:rPr>
        <w:t>The Access to Health Records Act 1990</w:t>
      </w:r>
    </w:p>
    <w:p w14:paraId="5CEB8A2D" w14:textId="77777777" w:rsidR="00566B52" w:rsidRPr="002B108B" w:rsidRDefault="00566B52" w:rsidP="002B108B">
      <w:pPr>
        <w:numPr>
          <w:ilvl w:val="0"/>
          <w:numId w:val="2"/>
        </w:numPr>
        <w:spacing w:after="0" w:line="240" w:lineRule="auto"/>
        <w:ind w:left="1985"/>
        <w:jc w:val="both"/>
        <w:rPr>
          <w:rFonts w:eastAsia="Arial" w:cstheme="minorHAnsi"/>
          <w:color w:val="000000"/>
          <w:spacing w:val="-2"/>
        </w:rPr>
      </w:pPr>
      <w:r w:rsidRPr="002B108B">
        <w:rPr>
          <w:rFonts w:eastAsia="Arial" w:cstheme="minorHAnsi"/>
          <w:color w:val="000000"/>
          <w:spacing w:val="-2"/>
        </w:rPr>
        <w:t>The General Data Protection Regulation 2016 (GDPR)</w:t>
      </w:r>
    </w:p>
    <w:p w14:paraId="5CEB8A2F" w14:textId="1AD5E5F2" w:rsidR="00566B52" w:rsidRPr="002B108B" w:rsidRDefault="00566B52" w:rsidP="002B108B">
      <w:pPr>
        <w:numPr>
          <w:ilvl w:val="0"/>
          <w:numId w:val="2"/>
        </w:numPr>
        <w:spacing w:after="120" w:line="240" w:lineRule="auto"/>
        <w:ind w:left="1984" w:hanging="357"/>
        <w:jc w:val="both"/>
        <w:rPr>
          <w:rFonts w:eastAsia="Arial" w:cstheme="minorHAnsi"/>
          <w:color w:val="000000"/>
          <w:spacing w:val="-2"/>
        </w:rPr>
      </w:pPr>
      <w:r w:rsidRPr="002B108B">
        <w:rPr>
          <w:rFonts w:eastAsia="Arial" w:cstheme="minorHAnsi"/>
          <w:color w:val="000000"/>
          <w:spacing w:val="-2"/>
        </w:rPr>
        <w:t>The Data Protection Act 2018 (formerly DPA 1998) (DPA)</w:t>
      </w:r>
    </w:p>
    <w:p w14:paraId="5CEB8A31" w14:textId="6908DC3A" w:rsidR="00877D91" w:rsidRDefault="00566B52" w:rsidP="00971F6C">
      <w:pPr>
        <w:spacing w:after="0" w:line="240" w:lineRule="auto"/>
        <w:ind w:left="284"/>
        <w:jc w:val="both"/>
        <w:rPr>
          <w:rFonts w:eastAsia="Arial" w:cstheme="minorHAnsi"/>
          <w:color w:val="000000"/>
          <w:spacing w:val="-2"/>
        </w:rPr>
      </w:pPr>
      <w:r w:rsidRPr="002B108B">
        <w:rPr>
          <w:rFonts w:eastAsia="Arial" w:cstheme="minorHAnsi"/>
          <w:color w:val="000000"/>
          <w:spacing w:val="-2"/>
        </w:rPr>
        <w:t xml:space="preserve">Patients requesting their own personal medical records </w:t>
      </w:r>
      <w:r w:rsidR="006A61B9" w:rsidRPr="002B108B">
        <w:rPr>
          <w:rFonts w:eastAsia="Arial" w:cstheme="minorHAnsi"/>
          <w:color w:val="000000"/>
          <w:spacing w:val="-2"/>
        </w:rPr>
        <w:t>will</w:t>
      </w:r>
      <w:r w:rsidRPr="002B108B">
        <w:rPr>
          <w:rFonts w:eastAsia="Arial" w:cstheme="minorHAnsi"/>
          <w:color w:val="000000"/>
          <w:spacing w:val="-2"/>
        </w:rPr>
        <w:t xml:space="preserve"> have their request dealt with under the provisions of the Data Protection Act 2018 and GDPR 2016.</w:t>
      </w:r>
      <w:r w:rsidR="00FE778F" w:rsidRPr="002B108B">
        <w:rPr>
          <w:rFonts w:eastAsia="Arial" w:cstheme="minorHAnsi"/>
          <w:color w:val="000000"/>
          <w:spacing w:val="-2"/>
        </w:rPr>
        <w:t xml:space="preserve"> </w:t>
      </w:r>
    </w:p>
    <w:p w14:paraId="13F58D8A" w14:textId="1640D9CC" w:rsidR="00BB5695" w:rsidRDefault="00BB5695" w:rsidP="00971F6C">
      <w:pPr>
        <w:spacing w:after="0" w:line="240" w:lineRule="auto"/>
        <w:ind w:left="284"/>
        <w:jc w:val="both"/>
        <w:rPr>
          <w:rFonts w:eastAsia="Arial" w:cstheme="minorHAnsi"/>
          <w:color w:val="000000"/>
          <w:spacing w:val="-2"/>
        </w:rPr>
      </w:pPr>
      <w:r>
        <w:rPr>
          <w:rFonts w:eastAsia="Arial" w:cstheme="minorHAnsi"/>
          <w:color w:val="000000"/>
          <w:spacing w:val="-2"/>
        </w:rPr>
        <w:t xml:space="preserve"> </w:t>
      </w:r>
    </w:p>
    <w:p w14:paraId="50F03363" w14:textId="33D3878C" w:rsidR="00BB5695" w:rsidRDefault="00E23AD8" w:rsidP="00971F6C">
      <w:pPr>
        <w:spacing w:after="0" w:line="240" w:lineRule="auto"/>
        <w:ind w:left="284"/>
        <w:jc w:val="both"/>
        <w:rPr>
          <w:rFonts w:eastAsia="Arial" w:cstheme="minorHAnsi"/>
          <w:color w:val="000000"/>
          <w:spacing w:val="-2"/>
        </w:rPr>
      </w:pPr>
      <w:r>
        <w:rPr>
          <w:rFonts w:eastAsia="Arial" w:cstheme="minorHAnsi"/>
          <w:color w:val="000000"/>
          <w:spacing w:val="-2"/>
        </w:rPr>
        <w:t xml:space="preserve">Southport and Formby Health </w:t>
      </w:r>
      <w:r w:rsidR="00CE3DA7">
        <w:rPr>
          <w:rFonts w:eastAsia="Arial" w:cstheme="minorHAnsi"/>
          <w:color w:val="000000"/>
          <w:spacing w:val="-2"/>
        </w:rPr>
        <w:t xml:space="preserve">accesses patients’ own GP practice records </w:t>
      </w:r>
      <w:r w:rsidR="008C15F3">
        <w:rPr>
          <w:rFonts w:eastAsia="Arial" w:cstheme="minorHAnsi"/>
          <w:color w:val="000000"/>
          <w:spacing w:val="-2"/>
        </w:rPr>
        <w:t>remotely</w:t>
      </w:r>
      <w:r w:rsidR="00C75E00">
        <w:rPr>
          <w:rFonts w:eastAsia="Arial" w:cstheme="minorHAnsi"/>
          <w:color w:val="000000"/>
          <w:spacing w:val="-2"/>
        </w:rPr>
        <w:t>.</w:t>
      </w:r>
      <w:r w:rsidR="008C15F3">
        <w:rPr>
          <w:rFonts w:eastAsia="Arial" w:cstheme="minorHAnsi"/>
          <w:color w:val="000000"/>
          <w:spacing w:val="-2"/>
        </w:rPr>
        <w:t xml:space="preserve"> </w:t>
      </w:r>
      <w:r w:rsidR="00C75E00">
        <w:rPr>
          <w:rFonts w:eastAsia="Arial" w:cstheme="minorHAnsi"/>
          <w:color w:val="000000"/>
          <w:spacing w:val="-2"/>
        </w:rPr>
        <w:t xml:space="preserve">This policy applies </w:t>
      </w:r>
      <w:r w:rsidR="00B840EA">
        <w:rPr>
          <w:rFonts w:eastAsia="Arial" w:cstheme="minorHAnsi"/>
          <w:color w:val="000000"/>
          <w:spacing w:val="-2"/>
        </w:rPr>
        <w:t>to health records created by clinicians wo</w:t>
      </w:r>
      <w:r w:rsidR="005D1B77">
        <w:rPr>
          <w:rFonts w:eastAsia="Arial" w:cstheme="minorHAnsi"/>
          <w:color w:val="000000"/>
          <w:spacing w:val="-2"/>
        </w:rPr>
        <w:t xml:space="preserve">rking in our services </w:t>
      </w:r>
      <w:r w:rsidR="000A40C6">
        <w:rPr>
          <w:rFonts w:eastAsia="Arial" w:cstheme="minorHAnsi"/>
          <w:color w:val="000000"/>
          <w:spacing w:val="-2"/>
        </w:rPr>
        <w:t>during consultations</w:t>
      </w:r>
      <w:r w:rsidR="00140750">
        <w:rPr>
          <w:rFonts w:eastAsia="Arial" w:cstheme="minorHAnsi"/>
          <w:color w:val="000000"/>
          <w:spacing w:val="-2"/>
        </w:rPr>
        <w:t xml:space="preserve">, along with any associated </w:t>
      </w:r>
      <w:r w:rsidR="001A5AB4">
        <w:rPr>
          <w:rFonts w:eastAsia="Arial" w:cstheme="minorHAnsi"/>
          <w:color w:val="000000"/>
          <w:spacing w:val="-2"/>
        </w:rPr>
        <w:t>correspondence and documents.</w:t>
      </w:r>
    </w:p>
    <w:p w14:paraId="18940461" w14:textId="77777777" w:rsidR="00971F6C" w:rsidRPr="002B108B" w:rsidRDefault="00971F6C" w:rsidP="00971F6C">
      <w:pPr>
        <w:spacing w:after="0" w:line="240" w:lineRule="auto"/>
        <w:ind w:left="284"/>
        <w:jc w:val="both"/>
        <w:rPr>
          <w:rFonts w:eastAsia="Arial" w:cstheme="minorHAnsi"/>
          <w:color w:val="000000"/>
          <w:spacing w:val="-2"/>
        </w:rPr>
      </w:pPr>
    </w:p>
    <w:p w14:paraId="5CEB8A35" w14:textId="77777777" w:rsidR="00566B52" w:rsidRPr="002B108B" w:rsidRDefault="00A101A6" w:rsidP="002B108B">
      <w:pPr>
        <w:pStyle w:val="Style3"/>
      </w:pPr>
      <w:bookmarkStart w:id="2" w:name="Record"/>
      <w:r w:rsidRPr="002B108B">
        <w:t>The Health Record</w:t>
      </w:r>
    </w:p>
    <w:bookmarkEnd w:id="2"/>
    <w:p w14:paraId="5CEB8A38" w14:textId="51D666D3" w:rsidR="004B3347" w:rsidRPr="006229AA" w:rsidRDefault="00787602" w:rsidP="006229AA">
      <w:pPr>
        <w:spacing w:after="120" w:line="240" w:lineRule="auto"/>
        <w:ind w:left="284"/>
        <w:jc w:val="both"/>
        <w:rPr>
          <w:rFonts w:eastAsia="Arial" w:cstheme="minorHAnsi"/>
          <w:color w:val="000000"/>
          <w:spacing w:val="-2"/>
        </w:rPr>
      </w:pPr>
      <w:r w:rsidRPr="006229AA">
        <w:rPr>
          <w:rFonts w:eastAsia="Arial" w:cstheme="minorHAnsi"/>
          <w:color w:val="000000"/>
          <w:spacing w:val="-2"/>
        </w:rPr>
        <w:t xml:space="preserve">A health record is any record which consists of information relating to the physical </w:t>
      </w:r>
      <w:r w:rsidR="006A61B9" w:rsidRPr="006229AA">
        <w:rPr>
          <w:rFonts w:eastAsia="Arial" w:cstheme="minorHAnsi"/>
          <w:color w:val="000000"/>
          <w:spacing w:val="-2"/>
        </w:rPr>
        <w:t>and/</w:t>
      </w:r>
      <w:r w:rsidRPr="006229AA">
        <w:rPr>
          <w:rFonts w:eastAsia="Arial" w:cstheme="minorHAnsi"/>
          <w:color w:val="000000"/>
          <w:spacing w:val="-2"/>
        </w:rPr>
        <w:t xml:space="preserve">or mental health or condition of an individual made by a health professional in connection with the care of </w:t>
      </w:r>
      <w:r w:rsidR="006A61B9" w:rsidRPr="006229AA">
        <w:rPr>
          <w:rFonts w:eastAsia="Arial" w:cstheme="minorHAnsi"/>
          <w:color w:val="000000"/>
          <w:spacing w:val="-2"/>
        </w:rPr>
        <w:t xml:space="preserve">the </w:t>
      </w:r>
      <w:r w:rsidRPr="006229AA">
        <w:rPr>
          <w:rFonts w:eastAsia="Arial" w:cstheme="minorHAnsi"/>
          <w:color w:val="000000"/>
          <w:spacing w:val="-2"/>
        </w:rPr>
        <w:t xml:space="preserve">individual. It can be recorded in a computerised form, in a manual form or a mixture of both. </w:t>
      </w:r>
    </w:p>
    <w:p w14:paraId="5CEB8A39" w14:textId="77777777" w:rsidR="00566B52" w:rsidRPr="006229AA" w:rsidRDefault="00787602" w:rsidP="00B1303C">
      <w:pPr>
        <w:spacing w:after="0" w:line="240" w:lineRule="auto"/>
        <w:ind w:left="284"/>
        <w:jc w:val="both"/>
        <w:rPr>
          <w:rFonts w:eastAsia="Arial" w:cstheme="minorHAnsi"/>
          <w:color w:val="000000"/>
          <w:spacing w:val="-2"/>
        </w:rPr>
      </w:pPr>
      <w:r w:rsidRPr="006229AA">
        <w:rPr>
          <w:rFonts w:eastAsia="Arial" w:cstheme="minorHAnsi"/>
          <w:color w:val="000000"/>
          <w:spacing w:val="-2"/>
        </w:rPr>
        <w:t>Information covers expression of opinion about individuals as well as fact. Health records may include notes made during consultations</w:t>
      </w:r>
      <w:r w:rsidR="006A61B9" w:rsidRPr="006229AA">
        <w:rPr>
          <w:rFonts w:eastAsia="Arial" w:cstheme="minorHAnsi"/>
          <w:color w:val="000000"/>
          <w:spacing w:val="-2"/>
        </w:rPr>
        <w:t xml:space="preserve"> and</w:t>
      </w:r>
      <w:r w:rsidRPr="006229AA">
        <w:rPr>
          <w:rFonts w:eastAsia="Arial" w:cstheme="minorHAnsi"/>
          <w:color w:val="000000"/>
          <w:spacing w:val="-2"/>
        </w:rPr>
        <w:t xml:space="preserve"> correspondence between health professionals</w:t>
      </w:r>
      <w:r w:rsidR="006A61B9" w:rsidRPr="006229AA">
        <w:rPr>
          <w:rFonts w:eastAsia="Arial" w:cstheme="minorHAnsi"/>
          <w:color w:val="000000"/>
          <w:spacing w:val="-2"/>
        </w:rPr>
        <w:t>,</w:t>
      </w:r>
      <w:r w:rsidRPr="006229AA">
        <w:rPr>
          <w:rFonts w:eastAsia="Arial" w:cstheme="minorHAnsi"/>
          <w:color w:val="000000"/>
          <w:spacing w:val="-2"/>
        </w:rPr>
        <w:t xml:space="preserve"> such as referral and discharge letters, results of tests and their interpretation, X-ray films, photographs, and tissue samples taken for diagnostic purposes.</w:t>
      </w:r>
      <w:r w:rsidR="006A61B9" w:rsidRPr="006229AA">
        <w:rPr>
          <w:rFonts w:eastAsia="Arial" w:cstheme="minorHAnsi"/>
          <w:color w:val="000000"/>
          <w:spacing w:val="-2"/>
        </w:rPr>
        <w:t xml:space="preserve"> </w:t>
      </w:r>
      <w:r w:rsidRPr="006229AA">
        <w:rPr>
          <w:rFonts w:eastAsia="Arial" w:cstheme="minorHAnsi"/>
          <w:color w:val="000000"/>
          <w:spacing w:val="-2"/>
        </w:rPr>
        <w:t xml:space="preserve"> They may also include reports written for third parties</w:t>
      </w:r>
      <w:r w:rsidR="006A61B9" w:rsidRPr="006229AA">
        <w:rPr>
          <w:rFonts w:eastAsia="Arial" w:cstheme="minorHAnsi"/>
          <w:color w:val="000000"/>
          <w:spacing w:val="-2"/>
        </w:rPr>
        <w:t>,</w:t>
      </w:r>
      <w:r w:rsidRPr="006229AA">
        <w:rPr>
          <w:rFonts w:eastAsia="Arial" w:cstheme="minorHAnsi"/>
          <w:color w:val="000000"/>
          <w:spacing w:val="-2"/>
        </w:rPr>
        <w:t xml:space="preserve"> such as insurance companies</w:t>
      </w:r>
      <w:r w:rsidR="00FE778F" w:rsidRPr="006229AA">
        <w:rPr>
          <w:rFonts w:eastAsia="Arial" w:cstheme="minorHAnsi"/>
          <w:color w:val="000000"/>
          <w:spacing w:val="-2"/>
        </w:rPr>
        <w:t xml:space="preserve">. </w:t>
      </w:r>
    </w:p>
    <w:p w14:paraId="5CEB8A3A" w14:textId="77777777" w:rsidR="00975B46" w:rsidRPr="00913B09" w:rsidRDefault="00975B46" w:rsidP="00B1303C">
      <w:pPr>
        <w:spacing w:after="0" w:line="240" w:lineRule="auto"/>
        <w:jc w:val="both"/>
        <w:rPr>
          <w:rFonts w:eastAsia="Arial" w:cstheme="minorHAnsi"/>
          <w:b/>
          <w:color w:val="000000"/>
          <w:spacing w:val="-2"/>
          <w:sz w:val="24"/>
          <w:szCs w:val="24"/>
        </w:rPr>
      </w:pPr>
    </w:p>
    <w:p w14:paraId="5CEB8A3B" w14:textId="352A90FD" w:rsidR="00975B46" w:rsidRPr="00913B09" w:rsidRDefault="00975B46" w:rsidP="002B108B">
      <w:pPr>
        <w:pStyle w:val="Style3"/>
      </w:pPr>
      <w:r w:rsidRPr="00913B09">
        <w:t xml:space="preserve">Detailed Patient </w:t>
      </w:r>
      <w:r w:rsidR="002313F9">
        <w:t>R</w:t>
      </w:r>
      <w:r w:rsidRPr="00913B09">
        <w:t>ecord Access includes:</w:t>
      </w:r>
    </w:p>
    <w:p w14:paraId="5CEB8A3E" w14:textId="21D22954" w:rsidR="0055416C" w:rsidRPr="002B108B" w:rsidRDefault="00975B46" w:rsidP="002B108B">
      <w:pPr>
        <w:spacing w:after="0" w:line="240" w:lineRule="auto"/>
        <w:ind w:left="360"/>
        <w:jc w:val="both"/>
        <w:rPr>
          <w:rFonts w:eastAsia="Arial" w:cstheme="minorHAnsi"/>
          <w:color w:val="000000"/>
          <w:spacing w:val="-2"/>
        </w:rPr>
      </w:pPr>
      <w:r w:rsidRPr="002B108B">
        <w:rPr>
          <w:rFonts w:eastAsia="Arial" w:cstheme="minorHAnsi"/>
          <w:color w:val="000000"/>
          <w:spacing w:val="-2"/>
        </w:rPr>
        <w:t xml:space="preserve">The minimum specification described by NHS England in the patient online support and resources guide is: </w:t>
      </w:r>
    </w:p>
    <w:p w14:paraId="5CEB8A3F" w14:textId="77777777" w:rsidR="0055416C" w:rsidRPr="002B108B" w:rsidRDefault="0055416C" w:rsidP="0002196B">
      <w:pPr>
        <w:numPr>
          <w:ilvl w:val="0"/>
          <w:numId w:val="23"/>
        </w:numPr>
        <w:spacing w:after="60" w:line="240" w:lineRule="auto"/>
        <w:ind w:left="720" w:hanging="153"/>
        <w:jc w:val="both"/>
        <w:rPr>
          <w:rFonts w:eastAsia="Arial" w:cstheme="minorHAnsi"/>
          <w:color w:val="000000"/>
          <w:spacing w:val="-2"/>
        </w:rPr>
      </w:pPr>
      <w:r w:rsidRPr="002B108B">
        <w:rPr>
          <w:rFonts w:eastAsia="Arial" w:cstheme="minorHAnsi"/>
          <w:color w:val="000000"/>
          <w:spacing w:val="-2"/>
        </w:rPr>
        <w:t>Demographic data i.e. name, address, age</w:t>
      </w:r>
    </w:p>
    <w:p w14:paraId="5CEB8A40" w14:textId="77777777" w:rsidR="0055416C" w:rsidRPr="006229AA" w:rsidRDefault="0055416C" w:rsidP="0002196B">
      <w:pPr>
        <w:numPr>
          <w:ilvl w:val="0"/>
          <w:numId w:val="23"/>
        </w:numPr>
        <w:spacing w:after="60" w:line="240" w:lineRule="auto"/>
        <w:ind w:left="720" w:hanging="153"/>
        <w:jc w:val="both"/>
        <w:rPr>
          <w:rFonts w:eastAsia="Arial" w:cstheme="minorHAnsi"/>
          <w:color w:val="000000"/>
          <w:spacing w:val="-2"/>
        </w:rPr>
      </w:pPr>
      <w:r w:rsidRPr="006229AA">
        <w:rPr>
          <w:rFonts w:eastAsia="Arial" w:cstheme="minorHAnsi"/>
          <w:color w:val="000000"/>
          <w:spacing w:val="-2"/>
        </w:rPr>
        <w:t>Allergies and adverse reactions</w:t>
      </w:r>
    </w:p>
    <w:p w14:paraId="5CEB8A41" w14:textId="77777777" w:rsidR="0055416C" w:rsidRPr="006229AA" w:rsidRDefault="0055416C" w:rsidP="0002196B">
      <w:pPr>
        <w:numPr>
          <w:ilvl w:val="0"/>
          <w:numId w:val="23"/>
        </w:numPr>
        <w:spacing w:after="60" w:line="240" w:lineRule="auto"/>
        <w:ind w:left="720" w:hanging="153"/>
        <w:jc w:val="both"/>
        <w:rPr>
          <w:rFonts w:eastAsia="Arial" w:cstheme="minorHAnsi"/>
          <w:color w:val="000000"/>
          <w:spacing w:val="-2"/>
        </w:rPr>
      </w:pPr>
      <w:r w:rsidRPr="006229AA">
        <w:rPr>
          <w:rFonts w:eastAsia="Arial" w:cstheme="minorHAnsi"/>
          <w:color w:val="000000"/>
          <w:spacing w:val="-2"/>
        </w:rPr>
        <w:t>Medication</w:t>
      </w:r>
    </w:p>
    <w:p w14:paraId="5CEB8A42" w14:textId="39F0128C" w:rsidR="0055416C" w:rsidRPr="006229AA" w:rsidRDefault="0055416C" w:rsidP="0002196B">
      <w:pPr>
        <w:numPr>
          <w:ilvl w:val="0"/>
          <w:numId w:val="23"/>
        </w:numPr>
        <w:spacing w:after="60" w:line="240" w:lineRule="auto"/>
        <w:ind w:left="720" w:hanging="153"/>
        <w:jc w:val="both"/>
        <w:rPr>
          <w:rFonts w:eastAsia="Arial" w:cstheme="minorHAnsi"/>
          <w:color w:val="000000"/>
          <w:spacing w:val="-2"/>
        </w:rPr>
      </w:pPr>
      <w:r w:rsidRPr="006229AA">
        <w:rPr>
          <w:rFonts w:eastAsia="Arial" w:cstheme="minorHAnsi"/>
          <w:color w:val="000000"/>
          <w:spacing w:val="-2"/>
        </w:rPr>
        <w:t>Immunisations</w:t>
      </w:r>
      <w:r w:rsidR="00371F4B">
        <w:rPr>
          <w:rFonts w:eastAsia="Arial" w:cstheme="minorHAnsi"/>
          <w:color w:val="000000"/>
          <w:spacing w:val="-2"/>
        </w:rPr>
        <w:t xml:space="preserve"> (these tend to be held </w:t>
      </w:r>
      <w:r w:rsidR="00242C6A">
        <w:rPr>
          <w:rFonts w:eastAsia="Arial" w:cstheme="minorHAnsi"/>
          <w:color w:val="000000"/>
          <w:spacing w:val="-2"/>
        </w:rPr>
        <w:t xml:space="preserve">and administered </w:t>
      </w:r>
      <w:r w:rsidR="00371F4B">
        <w:rPr>
          <w:rFonts w:eastAsia="Arial" w:cstheme="minorHAnsi"/>
          <w:color w:val="000000"/>
          <w:spacing w:val="-2"/>
        </w:rPr>
        <w:t>in general practice)</w:t>
      </w:r>
    </w:p>
    <w:p w14:paraId="5CEB8A43" w14:textId="77777777" w:rsidR="0055416C" w:rsidRPr="006229AA" w:rsidRDefault="0055416C" w:rsidP="0002196B">
      <w:pPr>
        <w:numPr>
          <w:ilvl w:val="0"/>
          <w:numId w:val="23"/>
        </w:numPr>
        <w:spacing w:after="60" w:line="240" w:lineRule="auto"/>
        <w:ind w:left="720" w:hanging="153"/>
        <w:jc w:val="both"/>
        <w:rPr>
          <w:rFonts w:eastAsia="Arial" w:cstheme="minorHAnsi"/>
          <w:color w:val="000000"/>
          <w:spacing w:val="-2"/>
        </w:rPr>
      </w:pPr>
      <w:r w:rsidRPr="006229AA">
        <w:rPr>
          <w:rFonts w:eastAsia="Arial" w:cstheme="minorHAnsi"/>
          <w:color w:val="000000"/>
          <w:spacing w:val="-2"/>
        </w:rPr>
        <w:t xml:space="preserve">Investigation results including numerical values and normal ranges </w:t>
      </w:r>
    </w:p>
    <w:p w14:paraId="5CEB8A44" w14:textId="77777777" w:rsidR="0055416C" w:rsidRPr="006229AA" w:rsidRDefault="0055416C" w:rsidP="0002196B">
      <w:pPr>
        <w:numPr>
          <w:ilvl w:val="0"/>
          <w:numId w:val="23"/>
        </w:numPr>
        <w:spacing w:after="60" w:line="240" w:lineRule="auto"/>
        <w:ind w:left="720" w:hanging="153"/>
        <w:jc w:val="both"/>
        <w:rPr>
          <w:rFonts w:eastAsia="Arial" w:cstheme="minorHAnsi"/>
          <w:color w:val="000000"/>
          <w:spacing w:val="-2"/>
        </w:rPr>
      </w:pPr>
      <w:r w:rsidRPr="006229AA">
        <w:rPr>
          <w:rFonts w:eastAsia="Arial" w:cstheme="minorHAnsi"/>
          <w:color w:val="000000"/>
          <w:spacing w:val="-2"/>
        </w:rPr>
        <w:t xml:space="preserve">Problems/diagnoses </w:t>
      </w:r>
    </w:p>
    <w:p w14:paraId="5CEB8A45" w14:textId="77777777" w:rsidR="0055416C" w:rsidRPr="006229AA" w:rsidRDefault="0055416C" w:rsidP="0002196B">
      <w:pPr>
        <w:numPr>
          <w:ilvl w:val="0"/>
          <w:numId w:val="23"/>
        </w:numPr>
        <w:spacing w:after="60" w:line="240" w:lineRule="auto"/>
        <w:ind w:left="720" w:hanging="153"/>
        <w:jc w:val="both"/>
        <w:rPr>
          <w:rFonts w:eastAsia="Arial" w:cstheme="minorHAnsi"/>
          <w:color w:val="000000"/>
          <w:spacing w:val="-2"/>
        </w:rPr>
      </w:pPr>
      <w:r w:rsidRPr="006229AA">
        <w:rPr>
          <w:rFonts w:eastAsia="Arial" w:cstheme="minorHAnsi"/>
          <w:color w:val="000000"/>
          <w:spacing w:val="-2"/>
        </w:rPr>
        <w:t xml:space="preserve">Procedure codes (medical and surgical) and codes in consultations (symptoms and signs) </w:t>
      </w:r>
    </w:p>
    <w:p w14:paraId="5CEB8A46" w14:textId="77777777" w:rsidR="0055416C" w:rsidRPr="006229AA" w:rsidRDefault="0055416C" w:rsidP="0002196B">
      <w:pPr>
        <w:numPr>
          <w:ilvl w:val="0"/>
          <w:numId w:val="23"/>
        </w:numPr>
        <w:spacing w:after="60" w:line="240" w:lineRule="auto"/>
        <w:ind w:left="720" w:hanging="153"/>
        <w:jc w:val="both"/>
        <w:rPr>
          <w:rFonts w:eastAsia="Arial" w:cstheme="minorHAnsi"/>
          <w:color w:val="000000"/>
          <w:spacing w:val="-2"/>
        </w:rPr>
      </w:pPr>
      <w:r w:rsidRPr="006229AA">
        <w:rPr>
          <w:rFonts w:eastAsia="Arial" w:cstheme="minorHAnsi"/>
          <w:color w:val="000000"/>
          <w:spacing w:val="-2"/>
        </w:rPr>
        <w:t xml:space="preserve">Biological values (e.g. BP) </w:t>
      </w:r>
    </w:p>
    <w:p w14:paraId="5CEB8A47" w14:textId="77777777" w:rsidR="0055416C" w:rsidRPr="006229AA" w:rsidRDefault="0055416C" w:rsidP="0002196B">
      <w:pPr>
        <w:numPr>
          <w:ilvl w:val="0"/>
          <w:numId w:val="23"/>
        </w:numPr>
        <w:spacing w:after="60" w:line="240" w:lineRule="auto"/>
        <w:ind w:left="720" w:hanging="153"/>
        <w:jc w:val="both"/>
        <w:rPr>
          <w:rFonts w:eastAsia="Arial" w:cstheme="minorHAnsi"/>
          <w:color w:val="000000"/>
          <w:spacing w:val="-2"/>
        </w:rPr>
      </w:pPr>
      <w:r w:rsidRPr="006229AA">
        <w:rPr>
          <w:rFonts w:eastAsia="Arial" w:cstheme="minorHAnsi"/>
          <w:color w:val="000000"/>
          <w:spacing w:val="-2"/>
        </w:rPr>
        <w:t xml:space="preserve">Codes showing referrals made or letters received </w:t>
      </w:r>
    </w:p>
    <w:p w14:paraId="3EBC3B40" w14:textId="38E0F687" w:rsidR="00B1303C" w:rsidRPr="00B1303C" w:rsidRDefault="0055416C" w:rsidP="00B1303C">
      <w:pPr>
        <w:numPr>
          <w:ilvl w:val="0"/>
          <w:numId w:val="23"/>
        </w:numPr>
        <w:spacing w:after="120" w:line="240" w:lineRule="auto"/>
        <w:ind w:left="720" w:hanging="153"/>
        <w:jc w:val="both"/>
        <w:rPr>
          <w:rFonts w:eastAsia="Arial" w:cstheme="minorHAnsi"/>
          <w:color w:val="000000"/>
          <w:spacing w:val="-2"/>
        </w:rPr>
      </w:pPr>
      <w:r w:rsidRPr="006229AA">
        <w:rPr>
          <w:rFonts w:eastAsia="Arial" w:cstheme="minorHAnsi"/>
          <w:color w:val="000000"/>
          <w:spacing w:val="-2"/>
        </w:rPr>
        <w:t>Other codes (ethnicity, QOF)</w:t>
      </w:r>
    </w:p>
    <w:p w14:paraId="5CEB8A4A" w14:textId="6CCE71FD" w:rsidR="00894F2C" w:rsidRPr="00913B09" w:rsidRDefault="0055416C" w:rsidP="00CB4B65">
      <w:pPr>
        <w:spacing w:after="0" w:line="240" w:lineRule="auto"/>
        <w:ind w:left="284"/>
        <w:jc w:val="both"/>
        <w:rPr>
          <w:rFonts w:eastAsia="Arial" w:cstheme="minorHAnsi"/>
          <w:color w:val="FF0000"/>
          <w:spacing w:val="-2"/>
          <w:sz w:val="24"/>
          <w:szCs w:val="24"/>
        </w:rPr>
      </w:pPr>
      <w:r w:rsidRPr="006229AA">
        <w:rPr>
          <w:rFonts w:eastAsia="Arial" w:cstheme="minorHAnsi"/>
          <w:color w:val="000000"/>
          <w:spacing w:val="-2"/>
        </w:rPr>
        <w:t>The Detailed Coded</w:t>
      </w:r>
      <w:r w:rsidRPr="00913B09">
        <w:rPr>
          <w:rFonts w:eastAsia="Arial" w:cstheme="minorHAnsi"/>
          <w:color w:val="000000"/>
          <w:spacing w:val="-2"/>
          <w:sz w:val="24"/>
          <w:szCs w:val="24"/>
        </w:rPr>
        <w:t xml:space="preserve"> Record can also include consultation free text and access to letters, but this is optional. </w:t>
      </w:r>
      <w:bookmarkStart w:id="3" w:name="Records_Policy"/>
    </w:p>
    <w:p w14:paraId="5CEB8A4B" w14:textId="7DE576AD" w:rsidR="00653E70" w:rsidRDefault="00653E70">
      <w:pPr>
        <w:rPr>
          <w:rFonts w:eastAsia="Arial" w:cstheme="minorHAnsi"/>
          <w:b/>
          <w:color w:val="000000"/>
          <w:spacing w:val="-2"/>
          <w:sz w:val="24"/>
          <w:szCs w:val="24"/>
        </w:rPr>
      </w:pPr>
      <w:r>
        <w:rPr>
          <w:rFonts w:eastAsia="Arial" w:cstheme="minorHAnsi"/>
          <w:b/>
          <w:color w:val="000000"/>
          <w:spacing w:val="-2"/>
          <w:sz w:val="24"/>
          <w:szCs w:val="24"/>
        </w:rPr>
        <w:br w:type="page"/>
      </w:r>
    </w:p>
    <w:p w14:paraId="6706CD4C" w14:textId="77777777" w:rsidR="00A101A6" w:rsidRPr="00913B09" w:rsidRDefault="00A101A6" w:rsidP="00A101A6">
      <w:pPr>
        <w:spacing w:after="0" w:line="240" w:lineRule="auto"/>
        <w:ind w:left="284"/>
        <w:jc w:val="both"/>
        <w:outlineLvl w:val="1"/>
        <w:rPr>
          <w:rFonts w:eastAsia="Arial" w:cstheme="minorHAnsi"/>
          <w:b/>
          <w:color w:val="000000"/>
          <w:spacing w:val="-2"/>
          <w:sz w:val="24"/>
          <w:szCs w:val="24"/>
        </w:rPr>
      </w:pPr>
    </w:p>
    <w:p w14:paraId="5CEB8A4C" w14:textId="77777777" w:rsidR="00566B52" w:rsidRPr="00913B09" w:rsidRDefault="00566B52" w:rsidP="002B108B">
      <w:pPr>
        <w:pStyle w:val="Style3"/>
      </w:pPr>
      <w:r w:rsidRPr="00913B09">
        <w:t xml:space="preserve">Medical Records Access – Staff Responsibility </w:t>
      </w:r>
    </w:p>
    <w:p w14:paraId="5CEB8A4E" w14:textId="7D8C9605" w:rsidR="00566B52" w:rsidRPr="000E5011" w:rsidRDefault="00E9512B" w:rsidP="000E5011">
      <w:pPr>
        <w:pStyle w:val="Style4"/>
      </w:pPr>
      <w:r w:rsidRPr="000E5011">
        <w:t>Service</w:t>
      </w:r>
      <w:r w:rsidR="00566B52" w:rsidRPr="000E5011">
        <w:t xml:space="preserve"> Manager</w:t>
      </w:r>
      <w:r w:rsidRPr="000E5011">
        <w:t>s</w:t>
      </w:r>
      <w:r w:rsidR="00566B52" w:rsidRPr="000E5011">
        <w:t xml:space="preserve"> and </w:t>
      </w:r>
      <w:r w:rsidR="0055416C" w:rsidRPr="000E5011">
        <w:t>Clinical Lead</w:t>
      </w:r>
      <w:r w:rsidR="00566B52" w:rsidRPr="000E5011">
        <w:t>s</w:t>
      </w:r>
    </w:p>
    <w:bookmarkEnd w:id="3"/>
    <w:p w14:paraId="5CEB8A50" w14:textId="3CC8A082" w:rsidR="0055416C" w:rsidRPr="000E5011" w:rsidRDefault="00566B52" w:rsidP="00CB4B65">
      <w:pPr>
        <w:ind w:left="284"/>
        <w:jc w:val="both"/>
        <w:rPr>
          <w:rFonts w:eastAsia="Arial" w:cstheme="minorHAnsi"/>
          <w:spacing w:val="-2"/>
        </w:rPr>
      </w:pPr>
      <w:r w:rsidRPr="000E5011">
        <w:rPr>
          <w:rFonts w:eastAsia="Arial" w:cstheme="minorHAnsi"/>
          <w:spacing w:val="-2"/>
        </w:rPr>
        <w:t xml:space="preserve">For the purposes of reviewing requests, the </w:t>
      </w:r>
      <w:r w:rsidR="00E9512B" w:rsidRPr="000E5011">
        <w:rPr>
          <w:rFonts w:eastAsia="Arial" w:cstheme="minorHAnsi"/>
          <w:spacing w:val="-2"/>
        </w:rPr>
        <w:t>Service</w:t>
      </w:r>
      <w:r w:rsidRPr="000E5011">
        <w:rPr>
          <w:rFonts w:eastAsia="Arial" w:cstheme="minorHAnsi"/>
          <w:spacing w:val="-2"/>
        </w:rPr>
        <w:t xml:space="preserve"> Manager and a named </w:t>
      </w:r>
      <w:r w:rsidR="0055416C" w:rsidRPr="000E5011">
        <w:rPr>
          <w:rFonts w:eastAsia="Arial" w:cstheme="minorHAnsi"/>
          <w:spacing w:val="-2"/>
        </w:rPr>
        <w:t>Clinical Lead</w:t>
      </w:r>
      <w:r w:rsidRPr="000E5011">
        <w:rPr>
          <w:rFonts w:eastAsia="Arial" w:cstheme="minorHAnsi"/>
          <w:spacing w:val="-2"/>
        </w:rPr>
        <w:t xml:space="preserve"> </w:t>
      </w:r>
      <w:r w:rsidR="004B3347" w:rsidRPr="000E5011">
        <w:rPr>
          <w:rFonts w:eastAsia="Arial" w:cstheme="minorHAnsi"/>
          <w:spacing w:val="-2"/>
        </w:rPr>
        <w:t xml:space="preserve">should </w:t>
      </w:r>
      <w:r w:rsidRPr="000E5011">
        <w:rPr>
          <w:rFonts w:eastAsia="Arial" w:cstheme="minorHAnsi"/>
          <w:spacing w:val="-2"/>
        </w:rPr>
        <w:t>ensure current data protection requirements are followed</w:t>
      </w:r>
      <w:r w:rsidR="006A61B9" w:rsidRPr="000E5011">
        <w:rPr>
          <w:rFonts w:eastAsia="Arial" w:cstheme="minorHAnsi"/>
          <w:spacing w:val="-2"/>
        </w:rPr>
        <w:t>,</w:t>
      </w:r>
      <w:r w:rsidRPr="000E5011">
        <w:rPr>
          <w:rFonts w:eastAsia="Arial" w:cstheme="minorHAnsi"/>
          <w:spacing w:val="-2"/>
        </w:rPr>
        <w:t xml:space="preserve"> </w:t>
      </w:r>
      <w:r w:rsidR="0055416C" w:rsidRPr="000E5011">
        <w:rPr>
          <w:rFonts w:eastAsia="Arial" w:cstheme="minorHAnsi"/>
          <w:spacing w:val="-2"/>
        </w:rPr>
        <w:t>(the DPO can offer advice and support, if required)</w:t>
      </w:r>
    </w:p>
    <w:p w14:paraId="5CEB8A52" w14:textId="5020CFA7" w:rsidR="00566B52" w:rsidRPr="00EA6A71" w:rsidRDefault="00566B52" w:rsidP="00EA6A71">
      <w:pPr>
        <w:spacing w:after="120" w:line="240" w:lineRule="auto"/>
        <w:ind w:left="284"/>
        <w:jc w:val="both"/>
        <w:rPr>
          <w:rFonts w:eastAsia="Arial" w:cstheme="minorHAnsi"/>
          <w:spacing w:val="-2"/>
        </w:rPr>
      </w:pPr>
      <w:r w:rsidRPr="000E5011">
        <w:rPr>
          <w:rFonts w:eastAsia="Arial" w:cstheme="minorHAnsi"/>
          <w:spacing w:val="-2"/>
        </w:rPr>
        <w:t>The main</w:t>
      </w:r>
      <w:r w:rsidR="003F1717" w:rsidRPr="000E5011">
        <w:rPr>
          <w:rFonts w:eastAsia="Arial" w:cstheme="minorHAnsi"/>
          <w:spacing w:val="-2"/>
        </w:rPr>
        <w:t xml:space="preserve"> </w:t>
      </w:r>
      <w:r w:rsidRPr="000E5011">
        <w:rPr>
          <w:rFonts w:eastAsia="Arial" w:cstheme="minorHAnsi"/>
          <w:spacing w:val="-2"/>
        </w:rPr>
        <w:t>duties of these roles are explained below:</w:t>
      </w:r>
    </w:p>
    <w:p w14:paraId="5CEB8A53" w14:textId="779F4A9E" w:rsidR="00566B52" w:rsidRPr="000E5011" w:rsidRDefault="0061585E" w:rsidP="000E5011">
      <w:pPr>
        <w:spacing w:after="0" w:line="240" w:lineRule="auto"/>
        <w:ind w:left="588"/>
        <w:jc w:val="both"/>
        <w:rPr>
          <w:rFonts w:eastAsia="Arial" w:cstheme="minorHAnsi"/>
          <w:bCs/>
          <w:color w:val="7F7F7F" w:themeColor="text1" w:themeTint="80"/>
          <w:spacing w:val="-2"/>
          <w:sz w:val="24"/>
          <w:szCs w:val="24"/>
        </w:rPr>
      </w:pPr>
      <w:r w:rsidRPr="000E5011">
        <w:rPr>
          <w:rFonts w:eastAsia="Arial" w:cstheme="minorHAnsi"/>
          <w:bCs/>
          <w:color w:val="7F7F7F" w:themeColor="text1" w:themeTint="80"/>
          <w:spacing w:val="-2"/>
          <w:sz w:val="24"/>
          <w:szCs w:val="24"/>
        </w:rPr>
        <w:t>Service Manager</w:t>
      </w:r>
    </w:p>
    <w:p w14:paraId="5CEB8A55" w14:textId="77777777" w:rsidR="00C63585" w:rsidRPr="00472CD1" w:rsidRDefault="003F1717" w:rsidP="0002196B">
      <w:pPr>
        <w:pStyle w:val="ListParagraph"/>
        <w:numPr>
          <w:ilvl w:val="0"/>
          <w:numId w:val="12"/>
        </w:numPr>
        <w:spacing w:after="60"/>
        <w:ind w:left="1020" w:hanging="357"/>
        <w:contextualSpacing w:val="0"/>
        <w:rPr>
          <w:rFonts w:eastAsia="Arial" w:cstheme="minorHAnsi"/>
          <w:spacing w:val="-2"/>
        </w:rPr>
      </w:pPr>
      <w:r w:rsidRPr="00472CD1">
        <w:rPr>
          <w:rFonts w:eastAsia="Arial" w:cstheme="minorHAnsi"/>
          <w:spacing w:val="-2"/>
        </w:rPr>
        <w:t>Verif</w:t>
      </w:r>
      <w:r w:rsidR="00352F02" w:rsidRPr="00472CD1">
        <w:rPr>
          <w:rFonts w:eastAsia="Arial" w:cstheme="minorHAnsi"/>
          <w:spacing w:val="-2"/>
        </w:rPr>
        <w:t>y</w:t>
      </w:r>
      <w:r w:rsidRPr="00472CD1">
        <w:rPr>
          <w:rFonts w:eastAsia="Arial" w:cstheme="minorHAnsi"/>
          <w:spacing w:val="-2"/>
        </w:rPr>
        <w:t xml:space="preserve"> of identit</w:t>
      </w:r>
      <w:r w:rsidR="00352F02" w:rsidRPr="00472CD1">
        <w:rPr>
          <w:rFonts w:eastAsia="Arial" w:cstheme="minorHAnsi"/>
          <w:spacing w:val="-2"/>
        </w:rPr>
        <w:t>y the patient</w:t>
      </w:r>
    </w:p>
    <w:p w14:paraId="5CEB8A56" w14:textId="77777777" w:rsidR="00C63585" w:rsidRPr="00472CD1" w:rsidRDefault="003F1717" w:rsidP="0002196B">
      <w:pPr>
        <w:pStyle w:val="ListParagraph"/>
        <w:numPr>
          <w:ilvl w:val="0"/>
          <w:numId w:val="12"/>
        </w:numPr>
        <w:spacing w:after="60"/>
        <w:ind w:left="1020" w:hanging="357"/>
        <w:contextualSpacing w:val="0"/>
        <w:rPr>
          <w:rFonts w:eastAsia="Arial" w:cstheme="minorHAnsi"/>
          <w:spacing w:val="-2"/>
        </w:rPr>
      </w:pPr>
      <w:r w:rsidRPr="00472CD1">
        <w:rPr>
          <w:rFonts w:eastAsia="Arial" w:cstheme="minorHAnsi"/>
          <w:spacing w:val="-2"/>
        </w:rPr>
        <w:t>P</w:t>
      </w:r>
      <w:r w:rsidR="00566B52" w:rsidRPr="00472CD1">
        <w:rPr>
          <w:rFonts w:eastAsia="Arial" w:cstheme="minorHAnsi"/>
          <w:spacing w:val="-2"/>
        </w:rPr>
        <w:t>rocess and co-ordinate the application</w:t>
      </w:r>
    </w:p>
    <w:p w14:paraId="5CEB8A57" w14:textId="77777777" w:rsidR="00481329" w:rsidRPr="00472CD1" w:rsidRDefault="00481329" w:rsidP="0002196B">
      <w:pPr>
        <w:pStyle w:val="ListParagraph"/>
        <w:numPr>
          <w:ilvl w:val="0"/>
          <w:numId w:val="12"/>
        </w:numPr>
        <w:spacing w:after="60"/>
        <w:ind w:left="1020" w:hanging="357"/>
        <w:contextualSpacing w:val="0"/>
        <w:rPr>
          <w:rFonts w:eastAsia="Arial" w:cstheme="minorHAnsi"/>
          <w:spacing w:val="-2"/>
        </w:rPr>
      </w:pPr>
      <w:r w:rsidRPr="00472CD1">
        <w:rPr>
          <w:rFonts w:eastAsia="Arial" w:cstheme="minorHAnsi"/>
          <w:spacing w:val="-2"/>
        </w:rPr>
        <w:t xml:space="preserve">Contact the patient to explain the process </w:t>
      </w:r>
    </w:p>
    <w:p w14:paraId="5CEB8A58" w14:textId="77777777" w:rsidR="00C63585" w:rsidRPr="00472CD1" w:rsidRDefault="00352F02" w:rsidP="0002196B">
      <w:pPr>
        <w:pStyle w:val="ListParagraph"/>
        <w:numPr>
          <w:ilvl w:val="0"/>
          <w:numId w:val="12"/>
        </w:numPr>
        <w:spacing w:after="60"/>
        <w:ind w:left="1020" w:hanging="357"/>
        <w:contextualSpacing w:val="0"/>
        <w:rPr>
          <w:rFonts w:eastAsia="Arial" w:cstheme="minorHAnsi"/>
          <w:spacing w:val="-2"/>
        </w:rPr>
      </w:pPr>
      <w:r w:rsidRPr="00472CD1">
        <w:rPr>
          <w:rFonts w:eastAsia="Arial" w:cstheme="minorHAnsi"/>
          <w:spacing w:val="-2"/>
        </w:rPr>
        <w:t>Check whether all the individual’s health record information is required or just certain aspects</w:t>
      </w:r>
    </w:p>
    <w:p w14:paraId="5CEB8A59" w14:textId="77777777" w:rsidR="00C63585" w:rsidRPr="00472CD1" w:rsidRDefault="00566B52" w:rsidP="0002196B">
      <w:pPr>
        <w:pStyle w:val="ListParagraph"/>
        <w:numPr>
          <w:ilvl w:val="0"/>
          <w:numId w:val="12"/>
        </w:numPr>
        <w:spacing w:after="60"/>
        <w:ind w:left="1020" w:hanging="357"/>
        <w:contextualSpacing w:val="0"/>
        <w:rPr>
          <w:rFonts w:eastAsia="Arial" w:cstheme="minorHAnsi"/>
          <w:spacing w:val="-2"/>
        </w:rPr>
      </w:pPr>
      <w:r w:rsidRPr="00472CD1">
        <w:rPr>
          <w:rFonts w:eastAsia="Arial" w:cstheme="minorHAnsi"/>
          <w:spacing w:val="-2"/>
        </w:rPr>
        <w:t>Review the medical records for third party information and redact information where consent has not been given</w:t>
      </w:r>
    </w:p>
    <w:p w14:paraId="5CEB8A5B" w14:textId="04027760" w:rsidR="00566B52" w:rsidRPr="000E5011" w:rsidRDefault="0055416C" w:rsidP="000E5011">
      <w:pPr>
        <w:spacing w:after="0" w:line="240" w:lineRule="auto"/>
        <w:ind w:left="664"/>
        <w:jc w:val="both"/>
        <w:rPr>
          <w:rFonts w:eastAsia="Arial" w:cstheme="minorHAnsi"/>
          <w:bCs/>
          <w:color w:val="7F7F7F" w:themeColor="text1" w:themeTint="80"/>
          <w:spacing w:val="-2"/>
          <w:sz w:val="24"/>
          <w:szCs w:val="24"/>
        </w:rPr>
      </w:pPr>
      <w:r w:rsidRPr="000E5011">
        <w:rPr>
          <w:rFonts w:eastAsia="Arial" w:cstheme="minorHAnsi"/>
          <w:bCs/>
          <w:color w:val="7F7F7F" w:themeColor="text1" w:themeTint="80"/>
          <w:spacing w:val="-2"/>
          <w:sz w:val="24"/>
          <w:szCs w:val="24"/>
        </w:rPr>
        <w:t>Clinical Lead</w:t>
      </w:r>
    </w:p>
    <w:p w14:paraId="5CEB8A5C" w14:textId="77777777" w:rsidR="00566B52" w:rsidRPr="00472CD1" w:rsidRDefault="00566B52" w:rsidP="0002196B">
      <w:pPr>
        <w:numPr>
          <w:ilvl w:val="0"/>
          <w:numId w:val="13"/>
        </w:numPr>
        <w:spacing w:after="60" w:line="240" w:lineRule="auto"/>
        <w:ind w:left="1020" w:hanging="357"/>
        <w:jc w:val="both"/>
        <w:rPr>
          <w:rFonts w:eastAsia="Arial" w:cstheme="minorHAnsi"/>
          <w:spacing w:val="-2"/>
        </w:rPr>
      </w:pPr>
      <w:r w:rsidRPr="00472CD1">
        <w:rPr>
          <w:rFonts w:eastAsia="Arial" w:cstheme="minorHAnsi"/>
          <w:spacing w:val="-2"/>
        </w:rPr>
        <w:t xml:space="preserve">Responsibility for reviewing the medical record and limiting or redacting sensitive and/or harmful information. </w:t>
      </w:r>
    </w:p>
    <w:p w14:paraId="5CEB8A5D" w14:textId="77777777" w:rsidR="00094FC9" w:rsidRPr="00472CD1" w:rsidRDefault="00566B52" w:rsidP="0002196B">
      <w:pPr>
        <w:numPr>
          <w:ilvl w:val="0"/>
          <w:numId w:val="13"/>
        </w:numPr>
        <w:spacing w:after="60" w:line="240" w:lineRule="auto"/>
        <w:ind w:left="1020" w:hanging="357"/>
        <w:jc w:val="both"/>
        <w:rPr>
          <w:rFonts w:eastAsia="Arial" w:cstheme="minorHAnsi"/>
          <w:spacing w:val="-2"/>
        </w:rPr>
      </w:pPr>
      <w:r w:rsidRPr="00472CD1">
        <w:rPr>
          <w:rFonts w:eastAsia="Arial" w:cstheme="minorHAnsi"/>
          <w:spacing w:val="-2"/>
        </w:rPr>
        <w:t>Overall responsibility for decision to allow access</w:t>
      </w:r>
    </w:p>
    <w:p w14:paraId="5CEB8A5E" w14:textId="77777777" w:rsidR="00094FC9" w:rsidRPr="00472CD1" w:rsidRDefault="00566B52" w:rsidP="0002196B">
      <w:pPr>
        <w:numPr>
          <w:ilvl w:val="0"/>
          <w:numId w:val="13"/>
        </w:numPr>
        <w:spacing w:after="60" w:line="240" w:lineRule="auto"/>
        <w:ind w:left="1020" w:hanging="357"/>
        <w:jc w:val="both"/>
        <w:rPr>
          <w:rFonts w:eastAsia="Arial" w:cstheme="minorHAnsi"/>
          <w:spacing w:val="-2"/>
        </w:rPr>
      </w:pPr>
      <w:r w:rsidRPr="00472CD1">
        <w:rPr>
          <w:rFonts w:eastAsia="Arial" w:cstheme="minorHAnsi"/>
          <w:spacing w:val="-2"/>
        </w:rPr>
        <w:t xml:space="preserve">The </w:t>
      </w:r>
      <w:r w:rsidR="0055416C" w:rsidRPr="00472CD1">
        <w:rPr>
          <w:rFonts w:eastAsia="Arial" w:cstheme="minorHAnsi"/>
          <w:spacing w:val="-2"/>
        </w:rPr>
        <w:t>Clinical Lead</w:t>
      </w:r>
      <w:r w:rsidRPr="00472CD1">
        <w:rPr>
          <w:rFonts w:eastAsia="Arial" w:cstheme="minorHAnsi"/>
          <w:spacing w:val="-2"/>
        </w:rPr>
        <w:t xml:space="preserve"> will review the content of the medical record and ensure that sensitive or harmful data are not made available to the patient</w:t>
      </w:r>
    </w:p>
    <w:p w14:paraId="5CEB8A5F" w14:textId="77777777" w:rsidR="00094FC9" w:rsidRPr="00472CD1" w:rsidRDefault="00566B52" w:rsidP="0002196B">
      <w:pPr>
        <w:numPr>
          <w:ilvl w:val="0"/>
          <w:numId w:val="13"/>
        </w:numPr>
        <w:spacing w:after="60" w:line="240" w:lineRule="auto"/>
        <w:ind w:left="1020" w:hanging="357"/>
        <w:jc w:val="both"/>
        <w:rPr>
          <w:rFonts w:eastAsia="Arial" w:cstheme="minorHAnsi"/>
          <w:spacing w:val="-2"/>
        </w:rPr>
      </w:pPr>
      <w:r w:rsidRPr="00472CD1">
        <w:rPr>
          <w:rFonts w:eastAsia="Arial" w:cstheme="minorHAnsi"/>
          <w:spacing w:val="-2"/>
        </w:rPr>
        <w:t xml:space="preserve">The </w:t>
      </w:r>
      <w:r w:rsidR="0055416C" w:rsidRPr="00472CD1">
        <w:rPr>
          <w:rFonts w:eastAsia="Arial" w:cstheme="minorHAnsi"/>
          <w:spacing w:val="-2"/>
        </w:rPr>
        <w:t>Clinical Lead</w:t>
      </w:r>
      <w:r w:rsidRPr="00472CD1">
        <w:rPr>
          <w:rFonts w:eastAsia="Arial" w:cstheme="minorHAnsi"/>
          <w:spacing w:val="-2"/>
        </w:rPr>
        <w:t xml:space="preserve"> can refuse the request for the reasons </w:t>
      </w:r>
      <w:r w:rsidR="0055416C" w:rsidRPr="00472CD1">
        <w:rPr>
          <w:rFonts w:eastAsia="Arial" w:cstheme="minorHAnsi"/>
          <w:spacing w:val="-2"/>
        </w:rPr>
        <w:t>given below</w:t>
      </w:r>
    </w:p>
    <w:p w14:paraId="5CEB8A60" w14:textId="77777777" w:rsidR="00566B52" w:rsidRPr="00472CD1" w:rsidRDefault="00566B52" w:rsidP="000E5011">
      <w:pPr>
        <w:numPr>
          <w:ilvl w:val="0"/>
          <w:numId w:val="13"/>
        </w:numPr>
        <w:spacing w:after="0" w:line="240" w:lineRule="auto"/>
        <w:ind w:left="1024"/>
        <w:jc w:val="both"/>
        <w:rPr>
          <w:rFonts w:eastAsia="Arial" w:cstheme="minorHAnsi"/>
          <w:spacing w:val="-2"/>
        </w:rPr>
      </w:pPr>
      <w:r w:rsidRPr="00472CD1">
        <w:rPr>
          <w:rFonts w:eastAsia="Arial" w:cstheme="minorHAnsi"/>
          <w:spacing w:val="-2"/>
        </w:rPr>
        <w:t xml:space="preserve">The </w:t>
      </w:r>
      <w:r w:rsidR="0055416C" w:rsidRPr="00472CD1">
        <w:rPr>
          <w:rFonts w:eastAsia="Arial" w:cstheme="minorHAnsi"/>
          <w:spacing w:val="-2"/>
        </w:rPr>
        <w:t>Clinical Lead</w:t>
      </w:r>
      <w:r w:rsidRPr="00472CD1">
        <w:rPr>
          <w:rFonts w:eastAsia="Arial" w:cstheme="minorHAnsi"/>
          <w:spacing w:val="-2"/>
        </w:rPr>
        <w:t xml:space="preserve"> will also check the record for quality, clarity of presentation, completeness, and accuracy.</w:t>
      </w:r>
    </w:p>
    <w:p w14:paraId="5CEB8A61" w14:textId="77777777" w:rsidR="001F5E90" w:rsidRPr="00913B09" w:rsidRDefault="001F5E90" w:rsidP="00566B52">
      <w:pPr>
        <w:spacing w:after="0" w:line="240" w:lineRule="auto"/>
        <w:jc w:val="both"/>
        <w:rPr>
          <w:rFonts w:eastAsia="Arial" w:cstheme="minorHAnsi"/>
          <w:color w:val="000000"/>
          <w:spacing w:val="-2"/>
          <w:sz w:val="24"/>
          <w:szCs w:val="24"/>
        </w:rPr>
      </w:pPr>
    </w:p>
    <w:p w14:paraId="5CEB8A62" w14:textId="5EB9FBB9" w:rsidR="001F5E90" w:rsidRPr="00913B09" w:rsidRDefault="001F5E90" w:rsidP="002B108B">
      <w:pPr>
        <w:pStyle w:val="Style3"/>
      </w:pPr>
      <w:r w:rsidRPr="00913B09">
        <w:t>Requests under Data Protection Legislation</w:t>
      </w:r>
    </w:p>
    <w:p w14:paraId="5CEB8A64" w14:textId="77777777" w:rsidR="001F5E90" w:rsidRPr="00472CD1" w:rsidRDefault="001F5E90" w:rsidP="00CB4B65">
      <w:pPr>
        <w:spacing w:after="0" w:line="240" w:lineRule="auto"/>
        <w:ind w:left="284"/>
        <w:jc w:val="both"/>
        <w:rPr>
          <w:rFonts w:eastAsia="Arial" w:cstheme="minorHAnsi"/>
          <w:color w:val="000000"/>
          <w:spacing w:val="-2"/>
        </w:rPr>
      </w:pPr>
      <w:r w:rsidRPr="00472CD1">
        <w:rPr>
          <w:rFonts w:eastAsia="Arial" w:cstheme="minorHAnsi"/>
          <w:color w:val="000000"/>
          <w:spacing w:val="-2"/>
        </w:rPr>
        <w:t xml:space="preserve">The scope of the Data Protection law includes the right of patients to request information on their own medical records. Requests for information under this legislation </w:t>
      </w:r>
      <w:r w:rsidR="006A61B9" w:rsidRPr="00472CD1">
        <w:rPr>
          <w:rFonts w:eastAsia="Arial" w:cstheme="minorHAnsi"/>
          <w:color w:val="000000"/>
          <w:spacing w:val="-2"/>
        </w:rPr>
        <w:t>can be</w:t>
      </w:r>
      <w:r w:rsidRPr="00472CD1">
        <w:rPr>
          <w:rFonts w:eastAsia="Arial" w:cstheme="minorHAnsi"/>
          <w:color w:val="000000"/>
          <w:spacing w:val="-2"/>
        </w:rPr>
        <w:t>:</w:t>
      </w:r>
    </w:p>
    <w:p w14:paraId="5CEB8A65" w14:textId="77777777" w:rsidR="00094FC9" w:rsidRPr="00472CD1" w:rsidRDefault="00094FC9" w:rsidP="00094FC9">
      <w:pPr>
        <w:autoSpaceDE w:val="0"/>
        <w:autoSpaceDN w:val="0"/>
        <w:adjustRightInd w:val="0"/>
        <w:spacing w:after="0" w:line="240" w:lineRule="auto"/>
        <w:rPr>
          <w:rFonts w:eastAsia="Times New Roman" w:cstheme="minorHAnsi"/>
          <w:lang w:val="en" w:eastAsia="en-GB"/>
        </w:rPr>
      </w:pPr>
    </w:p>
    <w:p w14:paraId="5CEB8A66" w14:textId="77777777" w:rsidR="00094FC9" w:rsidRPr="00472CD1" w:rsidRDefault="006A61B9" w:rsidP="0002196B">
      <w:pPr>
        <w:pStyle w:val="ListParagraph"/>
        <w:numPr>
          <w:ilvl w:val="0"/>
          <w:numId w:val="17"/>
        </w:numPr>
        <w:spacing w:after="60" w:line="240" w:lineRule="auto"/>
        <w:ind w:left="1077" w:hanging="357"/>
        <w:contextualSpacing w:val="0"/>
        <w:jc w:val="both"/>
        <w:rPr>
          <w:rFonts w:eastAsia="Arial" w:cstheme="minorHAnsi"/>
          <w:spacing w:val="-2"/>
        </w:rPr>
      </w:pPr>
      <w:r w:rsidRPr="00472CD1">
        <w:rPr>
          <w:rFonts w:eastAsia="Arial" w:cstheme="minorHAnsi"/>
          <w:spacing w:val="-2"/>
        </w:rPr>
        <w:t>I</w:t>
      </w:r>
      <w:r w:rsidR="00094FC9" w:rsidRPr="00472CD1">
        <w:rPr>
          <w:rFonts w:eastAsia="Arial" w:cstheme="minorHAnsi"/>
          <w:spacing w:val="-2"/>
        </w:rPr>
        <w:t>n writing</w:t>
      </w:r>
      <w:r w:rsidRPr="00472CD1">
        <w:rPr>
          <w:rFonts w:eastAsia="Arial" w:cstheme="minorHAnsi"/>
          <w:spacing w:val="-2"/>
        </w:rPr>
        <w:t xml:space="preserve">, </w:t>
      </w:r>
      <w:r w:rsidR="00094FC9" w:rsidRPr="00472CD1">
        <w:rPr>
          <w:rFonts w:eastAsia="Arial" w:cstheme="minorHAnsi"/>
          <w:spacing w:val="-2"/>
        </w:rPr>
        <w:t xml:space="preserve">this includes </w:t>
      </w:r>
      <w:r w:rsidRPr="00472CD1">
        <w:rPr>
          <w:rFonts w:eastAsia="Arial" w:cstheme="minorHAnsi"/>
          <w:spacing w:val="-2"/>
        </w:rPr>
        <w:t>l</w:t>
      </w:r>
      <w:r w:rsidR="00094FC9" w:rsidRPr="00472CD1">
        <w:rPr>
          <w:rFonts w:eastAsia="Arial" w:cstheme="minorHAnsi"/>
          <w:spacing w:val="-2"/>
        </w:rPr>
        <w:t>etter</w:t>
      </w:r>
      <w:r w:rsidR="00185DBB" w:rsidRPr="00472CD1">
        <w:rPr>
          <w:rFonts w:eastAsia="Arial" w:cstheme="minorHAnsi"/>
          <w:spacing w:val="-2"/>
        </w:rPr>
        <w:t xml:space="preserve"> </w:t>
      </w:r>
      <w:r w:rsidRPr="00472CD1">
        <w:rPr>
          <w:rFonts w:eastAsia="Arial" w:cstheme="minorHAnsi"/>
          <w:spacing w:val="-2"/>
        </w:rPr>
        <w:t>or</w:t>
      </w:r>
      <w:r w:rsidR="00094FC9" w:rsidRPr="00472CD1">
        <w:rPr>
          <w:rFonts w:eastAsia="Arial" w:cstheme="minorHAnsi"/>
          <w:spacing w:val="-2"/>
        </w:rPr>
        <w:t xml:space="preserve"> email  </w:t>
      </w:r>
    </w:p>
    <w:p w14:paraId="5CEB8A67" w14:textId="77777777" w:rsidR="00481329" w:rsidRPr="00472CD1" w:rsidRDefault="001F5E90" w:rsidP="0002196B">
      <w:pPr>
        <w:pStyle w:val="ListParagraph"/>
        <w:numPr>
          <w:ilvl w:val="0"/>
          <w:numId w:val="16"/>
        </w:numPr>
        <w:spacing w:after="60" w:line="240" w:lineRule="auto"/>
        <w:ind w:left="1077" w:hanging="357"/>
        <w:contextualSpacing w:val="0"/>
        <w:jc w:val="both"/>
        <w:rPr>
          <w:rFonts w:eastAsia="Arial" w:cstheme="minorHAnsi"/>
          <w:spacing w:val="-2"/>
        </w:rPr>
      </w:pPr>
      <w:r w:rsidRPr="00472CD1">
        <w:rPr>
          <w:rFonts w:eastAsia="Arial" w:cstheme="minorHAnsi"/>
          <w:spacing w:val="-2"/>
        </w:rPr>
        <w:t xml:space="preserve">Verbal requests can be accepted where the individual is unable to put the request in </w:t>
      </w:r>
      <w:r w:rsidR="00CB4B65" w:rsidRPr="00472CD1">
        <w:rPr>
          <w:rFonts w:eastAsia="Arial" w:cstheme="minorHAnsi"/>
          <w:spacing w:val="-2"/>
        </w:rPr>
        <w:t>writing or</w:t>
      </w:r>
      <w:r w:rsidRPr="00472CD1">
        <w:rPr>
          <w:rFonts w:eastAsia="Arial" w:cstheme="minorHAnsi"/>
          <w:spacing w:val="-2"/>
        </w:rPr>
        <w:t xml:space="preserve"> chooses not to</w:t>
      </w:r>
      <w:r w:rsidR="006A61B9" w:rsidRPr="00472CD1">
        <w:rPr>
          <w:rFonts w:eastAsia="Arial" w:cstheme="minorHAnsi"/>
          <w:spacing w:val="-2"/>
        </w:rPr>
        <w:t>.  A</w:t>
      </w:r>
      <w:r w:rsidRPr="00472CD1">
        <w:rPr>
          <w:rFonts w:eastAsia="Arial" w:cstheme="minorHAnsi"/>
          <w:spacing w:val="-2"/>
        </w:rPr>
        <w:t xml:space="preserve"> record of what is requested should be recorded and a letter for approval by the patient sent out (this must be noted on the patient record)</w:t>
      </w:r>
    </w:p>
    <w:p w14:paraId="5CEB8A68" w14:textId="330109F5" w:rsidR="00094FC9" w:rsidRPr="00472CD1" w:rsidRDefault="00094FC9" w:rsidP="0002196B">
      <w:pPr>
        <w:pStyle w:val="ListParagraph"/>
        <w:numPr>
          <w:ilvl w:val="0"/>
          <w:numId w:val="16"/>
        </w:numPr>
        <w:autoSpaceDE w:val="0"/>
        <w:autoSpaceDN w:val="0"/>
        <w:adjustRightInd w:val="0"/>
        <w:spacing w:after="60" w:line="240" w:lineRule="auto"/>
        <w:ind w:left="1077" w:hanging="357"/>
        <w:contextualSpacing w:val="0"/>
        <w:rPr>
          <w:rFonts w:eastAsia="Times New Roman" w:cstheme="minorHAnsi"/>
          <w:lang w:val="en" w:eastAsia="en-GB"/>
        </w:rPr>
      </w:pPr>
      <w:r w:rsidRPr="00472CD1">
        <w:rPr>
          <w:rFonts w:eastAsia="Times New Roman" w:cstheme="minorHAnsi"/>
          <w:lang w:val="en" w:eastAsia="en-GB"/>
        </w:rPr>
        <w:t xml:space="preserve">SARs can also be submitted via social media, such as the </w:t>
      </w:r>
      <w:r w:rsidR="005177B0" w:rsidRPr="00472CD1">
        <w:rPr>
          <w:rFonts w:eastAsia="Times New Roman" w:cstheme="minorHAnsi"/>
          <w:lang w:val="en" w:eastAsia="en-GB"/>
        </w:rPr>
        <w:t>company</w:t>
      </w:r>
      <w:r w:rsidRPr="00472CD1">
        <w:rPr>
          <w:rFonts w:eastAsia="Times New Roman" w:cstheme="minorHAnsi"/>
          <w:lang w:val="en" w:eastAsia="en-GB"/>
        </w:rPr>
        <w:t xml:space="preserve"> Facebook page or Twitter </w:t>
      </w:r>
    </w:p>
    <w:p w14:paraId="5CEB8A6A" w14:textId="30B6D389" w:rsidR="001F5E90" w:rsidRPr="0002196B" w:rsidRDefault="001F5E90" w:rsidP="0002196B">
      <w:pPr>
        <w:pStyle w:val="ListParagraph"/>
        <w:numPr>
          <w:ilvl w:val="0"/>
          <w:numId w:val="16"/>
        </w:numPr>
        <w:spacing w:after="120" w:line="240" w:lineRule="auto"/>
        <w:ind w:left="1077" w:hanging="357"/>
        <w:contextualSpacing w:val="0"/>
        <w:jc w:val="both"/>
        <w:rPr>
          <w:rFonts w:eastAsia="Arial" w:cstheme="minorHAnsi"/>
          <w:spacing w:val="-2"/>
        </w:rPr>
      </w:pPr>
      <w:r w:rsidRPr="00472CD1">
        <w:rPr>
          <w:rFonts w:eastAsia="Arial" w:cstheme="minorHAnsi"/>
          <w:color w:val="000000"/>
          <w:spacing w:val="-2"/>
        </w:rPr>
        <w:t xml:space="preserve">Be accompanied with appropriate proof of identity </w:t>
      </w:r>
      <w:r w:rsidR="0055416C" w:rsidRPr="00472CD1">
        <w:rPr>
          <w:rFonts w:eastAsia="Arial" w:cstheme="minorHAnsi"/>
          <w:color w:val="000000"/>
          <w:spacing w:val="-2"/>
        </w:rPr>
        <w:t>(</w:t>
      </w:r>
      <w:r w:rsidR="006A61B9" w:rsidRPr="00472CD1">
        <w:rPr>
          <w:rFonts w:eastAsia="Arial" w:cstheme="minorHAnsi"/>
          <w:color w:val="000000"/>
          <w:spacing w:val="-2"/>
        </w:rPr>
        <w:t>v</w:t>
      </w:r>
      <w:r w:rsidR="0055416C" w:rsidRPr="00472CD1">
        <w:rPr>
          <w:rFonts w:eastAsia="Arial" w:cstheme="minorHAnsi"/>
          <w:color w:val="000000"/>
          <w:spacing w:val="-2"/>
        </w:rPr>
        <w:t>erification documents)</w:t>
      </w:r>
    </w:p>
    <w:p w14:paraId="5CEB8A6C" w14:textId="02E90962" w:rsidR="0078063E" w:rsidRPr="00472CD1" w:rsidRDefault="0078063E" w:rsidP="0002196B">
      <w:pPr>
        <w:spacing w:after="120" w:line="240" w:lineRule="auto"/>
        <w:ind w:left="357"/>
        <w:jc w:val="both"/>
        <w:rPr>
          <w:rFonts w:eastAsia="Arial" w:cstheme="minorHAnsi"/>
          <w:spacing w:val="-2"/>
        </w:rPr>
      </w:pPr>
      <w:r w:rsidRPr="00472CD1">
        <w:rPr>
          <w:rFonts w:eastAsia="Arial" w:cstheme="minorHAnsi"/>
          <w:color w:val="000000"/>
          <w:spacing w:val="-2"/>
        </w:rPr>
        <w:t xml:space="preserve">The </w:t>
      </w:r>
      <w:r w:rsidR="005177B0" w:rsidRPr="00472CD1">
        <w:rPr>
          <w:rFonts w:eastAsia="Arial" w:cstheme="minorHAnsi"/>
          <w:color w:val="000000"/>
          <w:spacing w:val="-2"/>
        </w:rPr>
        <w:t>company</w:t>
      </w:r>
      <w:r w:rsidRPr="00472CD1">
        <w:rPr>
          <w:rFonts w:eastAsia="Arial" w:cstheme="minorHAnsi"/>
          <w:color w:val="000000"/>
          <w:spacing w:val="-2"/>
        </w:rPr>
        <w:t xml:space="preserve"> can ask a patient to complete an application form to support the Subject Access </w:t>
      </w:r>
      <w:r w:rsidR="006A61B9" w:rsidRPr="00472CD1">
        <w:rPr>
          <w:rFonts w:eastAsia="Arial" w:cstheme="minorHAnsi"/>
          <w:color w:val="000000"/>
          <w:spacing w:val="-2"/>
        </w:rPr>
        <w:t>R</w:t>
      </w:r>
      <w:r w:rsidRPr="00472CD1">
        <w:rPr>
          <w:rFonts w:eastAsia="Arial" w:cstheme="minorHAnsi"/>
          <w:color w:val="000000"/>
          <w:spacing w:val="-2"/>
        </w:rPr>
        <w:t xml:space="preserve">equest, although this is not a requirement.  </w:t>
      </w:r>
      <w:r w:rsidRPr="00472CD1">
        <w:rPr>
          <w:rFonts w:eastAsia="Arial" w:cstheme="minorHAnsi"/>
          <w:spacing w:val="-2"/>
        </w:rPr>
        <w:t xml:space="preserve">Suitably trained and authorised reception staff should ensure the application form has been completed correctly and verify </w:t>
      </w:r>
      <w:r w:rsidR="0055416C" w:rsidRPr="00472CD1">
        <w:rPr>
          <w:rFonts w:eastAsia="Arial" w:cstheme="minorHAnsi"/>
          <w:spacing w:val="-2"/>
        </w:rPr>
        <w:t>identity.</w:t>
      </w:r>
      <w:r w:rsidR="00EA79A4" w:rsidRPr="00472CD1">
        <w:rPr>
          <w:rFonts w:eastAsia="Arial" w:cstheme="minorHAnsi"/>
          <w:spacing w:val="-2"/>
        </w:rPr>
        <w:t xml:space="preserve"> </w:t>
      </w:r>
      <w:r w:rsidR="0055416C" w:rsidRPr="00472CD1">
        <w:rPr>
          <w:rFonts w:eastAsia="Arial" w:cstheme="minorHAnsi"/>
          <w:spacing w:val="-2"/>
        </w:rPr>
        <w:t xml:space="preserve"> </w:t>
      </w:r>
      <w:r w:rsidR="00C43BB2" w:rsidRPr="00472CD1">
        <w:rPr>
          <w:rFonts w:eastAsia="Arial" w:cstheme="minorHAnsi"/>
          <w:spacing w:val="-2"/>
        </w:rPr>
        <w:t>If an application form is used this</w:t>
      </w:r>
      <w:r w:rsidRPr="00472CD1">
        <w:rPr>
          <w:rFonts w:eastAsia="Arial" w:cstheme="minorHAnsi"/>
          <w:spacing w:val="-2"/>
        </w:rPr>
        <w:t xml:space="preserve"> must be completed and signed by the patient.</w:t>
      </w:r>
    </w:p>
    <w:p w14:paraId="5CEB8A6D" w14:textId="14C27A13" w:rsidR="001F5E90" w:rsidRPr="00913B09" w:rsidRDefault="001F5E90" w:rsidP="00CB4B65">
      <w:pPr>
        <w:spacing w:after="0" w:line="240" w:lineRule="auto"/>
        <w:ind w:left="360"/>
        <w:jc w:val="both"/>
        <w:rPr>
          <w:rFonts w:eastAsia="Arial" w:cstheme="minorHAnsi"/>
          <w:color w:val="000000"/>
          <w:spacing w:val="-2"/>
          <w:sz w:val="24"/>
          <w:szCs w:val="24"/>
        </w:rPr>
      </w:pPr>
      <w:r w:rsidRPr="00472CD1">
        <w:rPr>
          <w:rFonts w:eastAsia="Arial" w:cstheme="minorHAnsi"/>
          <w:color w:val="000000"/>
          <w:spacing w:val="-2"/>
        </w:rPr>
        <w:t xml:space="preserve">Where an information request has been previously fulfilled, the </w:t>
      </w:r>
      <w:r w:rsidR="005177B0" w:rsidRPr="00472CD1">
        <w:rPr>
          <w:rFonts w:eastAsia="Arial" w:cstheme="minorHAnsi"/>
          <w:color w:val="000000"/>
          <w:spacing w:val="-2"/>
        </w:rPr>
        <w:t>company</w:t>
      </w:r>
      <w:r w:rsidRPr="00472CD1">
        <w:rPr>
          <w:rFonts w:eastAsia="Arial" w:cstheme="minorHAnsi"/>
          <w:color w:val="000000"/>
          <w:spacing w:val="-2"/>
        </w:rPr>
        <w:t xml:space="preserve"> does not have to </w:t>
      </w:r>
      <w:r w:rsidR="00481329" w:rsidRPr="00472CD1">
        <w:rPr>
          <w:rFonts w:eastAsia="Arial" w:cstheme="minorHAnsi"/>
          <w:color w:val="000000"/>
          <w:spacing w:val="-2"/>
        </w:rPr>
        <w:t xml:space="preserve">provide </w:t>
      </w:r>
      <w:r w:rsidRPr="00472CD1">
        <w:rPr>
          <w:rFonts w:eastAsia="Arial" w:cstheme="minorHAnsi"/>
          <w:color w:val="000000"/>
          <w:spacing w:val="-2"/>
        </w:rPr>
        <w:t>the same request again unless a reasonable time-period has elapsed. It is up to the administrative</w:t>
      </w:r>
      <w:r w:rsidRPr="00913B09">
        <w:rPr>
          <w:rFonts w:eastAsia="Arial" w:cstheme="minorHAnsi"/>
          <w:color w:val="000000"/>
          <w:spacing w:val="-2"/>
          <w:sz w:val="24"/>
          <w:szCs w:val="24"/>
        </w:rPr>
        <w:t>/</w:t>
      </w:r>
      <w:r w:rsidR="0055416C" w:rsidRPr="00913B09">
        <w:rPr>
          <w:rFonts w:eastAsia="Arial" w:cstheme="minorHAnsi"/>
          <w:color w:val="000000"/>
          <w:spacing w:val="-2"/>
          <w:sz w:val="24"/>
          <w:szCs w:val="24"/>
        </w:rPr>
        <w:t>Clinical Lead</w:t>
      </w:r>
      <w:r w:rsidRPr="00913B09">
        <w:rPr>
          <w:rFonts w:eastAsia="Arial" w:cstheme="minorHAnsi"/>
          <w:color w:val="000000"/>
          <w:spacing w:val="-2"/>
          <w:sz w:val="24"/>
          <w:szCs w:val="24"/>
        </w:rPr>
        <w:t>s to ascertain what constitutes a reasonable time-perio</w:t>
      </w:r>
      <w:r w:rsidR="00481329" w:rsidRPr="00913B09">
        <w:rPr>
          <w:rFonts w:eastAsia="Arial" w:cstheme="minorHAnsi"/>
          <w:color w:val="000000"/>
          <w:spacing w:val="-2"/>
          <w:sz w:val="24"/>
          <w:szCs w:val="24"/>
        </w:rPr>
        <w:t xml:space="preserve">d. </w:t>
      </w:r>
    </w:p>
    <w:p w14:paraId="5CEB8A6E" w14:textId="4C41EB0D" w:rsidR="00472CD1" w:rsidRDefault="00472CD1">
      <w:pPr>
        <w:rPr>
          <w:rFonts w:eastAsia="Arial" w:cstheme="minorHAnsi"/>
          <w:color w:val="000000"/>
          <w:spacing w:val="-2"/>
          <w:sz w:val="24"/>
          <w:szCs w:val="24"/>
        </w:rPr>
      </w:pPr>
      <w:r>
        <w:rPr>
          <w:rFonts w:eastAsia="Arial" w:cstheme="minorHAnsi"/>
          <w:color w:val="000000"/>
          <w:spacing w:val="-2"/>
          <w:sz w:val="24"/>
          <w:szCs w:val="24"/>
        </w:rPr>
        <w:br w:type="page"/>
      </w:r>
    </w:p>
    <w:p w14:paraId="17E334C8" w14:textId="026C9515" w:rsidR="000D49A3" w:rsidRDefault="000D49A3" w:rsidP="001F5E90">
      <w:pPr>
        <w:spacing w:after="0" w:line="240" w:lineRule="auto"/>
        <w:jc w:val="both"/>
        <w:rPr>
          <w:rFonts w:eastAsia="Arial" w:cstheme="minorHAnsi"/>
          <w:color w:val="000000"/>
          <w:spacing w:val="-2"/>
          <w:sz w:val="24"/>
          <w:szCs w:val="24"/>
        </w:rPr>
      </w:pPr>
    </w:p>
    <w:p w14:paraId="1A9FF17E" w14:textId="77777777" w:rsidR="00472CD1" w:rsidRPr="00913B09" w:rsidRDefault="00472CD1" w:rsidP="001F5E90">
      <w:pPr>
        <w:spacing w:after="0" w:line="240" w:lineRule="auto"/>
        <w:jc w:val="both"/>
        <w:rPr>
          <w:rFonts w:eastAsia="Arial" w:cstheme="minorHAnsi"/>
          <w:color w:val="000000"/>
          <w:spacing w:val="-2"/>
          <w:sz w:val="24"/>
          <w:szCs w:val="24"/>
        </w:rPr>
      </w:pPr>
    </w:p>
    <w:p w14:paraId="51355CB0" w14:textId="77777777" w:rsidR="00472CD1" w:rsidRDefault="00566B52" w:rsidP="00472CD1">
      <w:pPr>
        <w:pStyle w:val="Style4"/>
      </w:pPr>
      <w:r w:rsidRPr="00913B09">
        <w:rPr>
          <w:lang w:val="en-US"/>
        </w:rPr>
        <w:t>Adult proxy access verification</w:t>
      </w:r>
    </w:p>
    <w:p w14:paraId="5CEB8A90" w14:textId="1C52A16A" w:rsidR="00566B52" w:rsidRPr="00472CD1" w:rsidRDefault="00566B52" w:rsidP="00130113">
      <w:pPr>
        <w:spacing w:after="120" w:line="240" w:lineRule="auto"/>
        <w:ind w:left="360"/>
        <w:jc w:val="both"/>
        <w:rPr>
          <w:rFonts w:eastAsia="Arial" w:cstheme="minorHAnsi"/>
          <w:spacing w:val="-2"/>
        </w:rPr>
      </w:pPr>
      <w:r w:rsidRPr="00472CD1">
        <w:rPr>
          <w:rFonts w:eastAsia="Times New Roman" w:cstheme="minorHAnsi"/>
          <w:lang w:val="en-US"/>
        </w:rPr>
        <w:t xml:space="preserve">Before the </w:t>
      </w:r>
      <w:r w:rsidR="005177B0" w:rsidRPr="00472CD1">
        <w:rPr>
          <w:rFonts w:eastAsia="Times New Roman" w:cstheme="minorHAnsi"/>
          <w:lang w:val="en-US"/>
        </w:rPr>
        <w:t>company</w:t>
      </w:r>
      <w:r w:rsidRPr="00472CD1">
        <w:rPr>
          <w:rFonts w:eastAsia="Times New Roman" w:cstheme="minorHAnsi"/>
          <w:lang w:val="en-US"/>
        </w:rPr>
        <w:t xml:space="preserve"> provides proxy access to an individual or individuals on behalf of a patient further checks must be taken: </w:t>
      </w:r>
    </w:p>
    <w:p w14:paraId="5CEB8A91" w14:textId="77777777" w:rsidR="00566B52" w:rsidRPr="00472CD1" w:rsidRDefault="00566B52" w:rsidP="00130113">
      <w:pPr>
        <w:widowControl w:val="0"/>
        <w:numPr>
          <w:ilvl w:val="0"/>
          <w:numId w:val="3"/>
        </w:numPr>
        <w:tabs>
          <w:tab w:val="left" w:pos="220"/>
        </w:tabs>
        <w:autoSpaceDE w:val="0"/>
        <w:autoSpaceDN w:val="0"/>
        <w:adjustRightInd w:val="0"/>
        <w:spacing w:after="120" w:line="240" w:lineRule="auto"/>
        <w:ind w:left="993" w:hanging="426"/>
        <w:jc w:val="both"/>
        <w:rPr>
          <w:rFonts w:eastAsia="Times New Roman" w:cstheme="minorHAnsi"/>
          <w:lang w:val="en-US"/>
        </w:rPr>
      </w:pPr>
      <w:r w:rsidRPr="00472CD1">
        <w:rPr>
          <w:rFonts w:eastAsia="Times New Roman" w:cstheme="minorHAnsi"/>
          <w:lang w:val="en-US"/>
        </w:rPr>
        <w:t xml:space="preserve">There must be either the explicit informed consent of the patient, including their preference for the level of access to be given to the proxy, or some other legitimate justification for </w:t>
      </w:r>
      <w:r w:rsidR="00E4231A" w:rsidRPr="00472CD1">
        <w:rPr>
          <w:rFonts w:eastAsia="Times New Roman" w:cstheme="minorHAnsi"/>
          <w:lang w:val="en-US"/>
        </w:rPr>
        <w:t>authorising</w:t>
      </w:r>
      <w:r w:rsidRPr="00472CD1">
        <w:rPr>
          <w:rFonts w:eastAsia="Times New Roman" w:cstheme="minorHAnsi"/>
          <w:lang w:val="en-US"/>
        </w:rPr>
        <w:t xml:space="preserve"> proxy access without the patient’s consent </w:t>
      </w:r>
    </w:p>
    <w:p w14:paraId="5CEB8A92" w14:textId="77777777" w:rsidR="00566B52" w:rsidRPr="00472CD1" w:rsidRDefault="00566B52" w:rsidP="00130113">
      <w:pPr>
        <w:widowControl w:val="0"/>
        <w:numPr>
          <w:ilvl w:val="0"/>
          <w:numId w:val="3"/>
        </w:numPr>
        <w:tabs>
          <w:tab w:val="left" w:pos="220"/>
        </w:tabs>
        <w:autoSpaceDE w:val="0"/>
        <w:autoSpaceDN w:val="0"/>
        <w:adjustRightInd w:val="0"/>
        <w:spacing w:after="120" w:line="240" w:lineRule="auto"/>
        <w:ind w:left="993" w:hanging="426"/>
        <w:jc w:val="both"/>
        <w:rPr>
          <w:rFonts w:eastAsia="Times New Roman" w:cstheme="minorHAnsi"/>
          <w:lang w:val="en-US"/>
        </w:rPr>
      </w:pPr>
      <w:r w:rsidRPr="00472CD1">
        <w:rPr>
          <w:rFonts w:eastAsia="Times New Roman" w:cstheme="minorHAnsi"/>
          <w:lang w:val="en-US"/>
        </w:rPr>
        <w:t>The identity of the individual who is asking for proxy access must be verified</w:t>
      </w:r>
    </w:p>
    <w:p w14:paraId="5CEB8A93" w14:textId="77777777" w:rsidR="00566B52" w:rsidRPr="00472CD1" w:rsidRDefault="00566B52" w:rsidP="00130113">
      <w:pPr>
        <w:widowControl w:val="0"/>
        <w:numPr>
          <w:ilvl w:val="0"/>
          <w:numId w:val="3"/>
        </w:numPr>
        <w:tabs>
          <w:tab w:val="left" w:pos="220"/>
        </w:tabs>
        <w:autoSpaceDE w:val="0"/>
        <w:autoSpaceDN w:val="0"/>
        <w:adjustRightInd w:val="0"/>
        <w:spacing w:after="120" w:line="240" w:lineRule="auto"/>
        <w:ind w:left="993" w:hanging="426"/>
        <w:jc w:val="both"/>
        <w:rPr>
          <w:rFonts w:eastAsia="Times New Roman" w:cstheme="minorHAnsi"/>
          <w:lang w:val="en-US"/>
        </w:rPr>
      </w:pPr>
      <w:r w:rsidRPr="00472CD1">
        <w:rPr>
          <w:rFonts w:eastAsia="Times New Roman" w:cstheme="minorHAnsi"/>
          <w:lang w:val="en-US"/>
        </w:rPr>
        <w:t xml:space="preserve">The identity of the person giving consent for proxy access must also be </w:t>
      </w:r>
      <w:r w:rsidR="007675EC" w:rsidRPr="00472CD1">
        <w:rPr>
          <w:rFonts w:eastAsia="Times New Roman" w:cstheme="minorHAnsi"/>
          <w:lang w:val="en-US"/>
        </w:rPr>
        <w:t>verified.</w:t>
      </w:r>
      <w:r w:rsidR="005C5645" w:rsidRPr="00472CD1">
        <w:rPr>
          <w:rFonts w:eastAsia="Times New Roman" w:cstheme="minorHAnsi"/>
          <w:lang w:val="en-US"/>
        </w:rPr>
        <w:t xml:space="preserve"> </w:t>
      </w:r>
      <w:r w:rsidRPr="00472CD1">
        <w:rPr>
          <w:rFonts w:eastAsia="Times New Roman" w:cstheme="minorHAnsi"/>
          <w:lang w:val="en-US"/>
        </w:rPr>
        <w:t xml:space="preserve"> This will normally be the patient but may be someone else acting under a power of attorney or as a Court Appointed Deputy</w:t>
      </w:r>
    </w:p>
    <w:p w14:paraId="5CEB8A94" w14:textId="77777777" w:rsidR="009826D8" w:rsidRPr="00472CD1" w:rsidRDefault="00566B52" w:rsidP="00130113">
      <w:pPr>
        <w:widowControl w:val="0"/>
        <w:numPr>
          <w:ilvl w:val="0"/>
          <w:numId w:val="3"/>
        </w:numPr>
        <w:autoSpaceDE w:val="0"/>
        <w:autoSpaceDN w:val="0"/>
        <w:adjustRightInd w:val="0"/>
        <w:spacing w:after="120" w:line="240" w:lineRule="auto"/>
        <w:ind w:left="993" w:hanging="426"/>
        <w:jc w:val="both"/>
        <w:rPr>
          <w:rFonts w:eastAsia="Times New Roman" w:cstheme="minorHAnsi"/>
          <w:lang w:val="en-US"/>
        </w:rPr>
      </w:pPr>
      <w:r w:rsidRPr="00472CD1">
        <w:rPr>
          <w:rFonts w:eastAsia="Times New Roman" w:cstheme="minorHAnsi"/>
          <w:lang w:val="en-US"/>
        </w:rPr>
        <w:t xml:space="preserve">When someone is applying for proxy access </w:t>
      </w:r>
      <w:r w:rsidR="00E4231A" w:rsidRPr="00472CD1">
        <w:rPr>
          <w:rFonts w:eastAsia="Times New Roman" w:cstheme="minorHAnsi"/>
          <w:lang w:val="en-US"/>
        </w:rPr>
        <w:t>based on</w:t>
      </w:r>
      <w:r w:rsidRPr="00472CD1">
        <w:rPr>
          <w:rFonts w:eastAsia="Times New Roman" w:cstheme="minorHAnsi"/>
          <w:lang w:val="en-US"/>
        </w:rPr>
        <w:t xml:space="preserve"> an enduring power of attorney,</w:t>
      </w:r>
      <w:r w:rsidR="005C5645" w:rsidRPr="00472CD1">
        <w:rPr>
          <w:rFonts w:eastAsia="Times New Roman" w:cstheme="minorHAnsi"/>
          <w:lang w:val="en-US"/>
        </w:rPr>
        <w:t xml:space="preserve"> </w:t>
      </w:r>
      <w:r w:rsidRPr="00472CD1">
        <w:rPr>
          <w:rFonts w:eastAsia="Times New Roman" w:cstheme="minorHAnsi"/>
          <w:lang w:val="en-US"/>
        </w:rPr>
        <w:t>lasting power of attorney, or as a Court Appointed Deputy, their status should be verified by making an online check of the registers held by the Office of the Public Guardian</w:t>
      </w:r>
    </w:p>
    <w:p w14:paraId="7ACCD867" w14:textId="77777777" w:rsidR="00472CD1" w:rsidRDefault="00566B52" w:rsidP="00472CD1">
      <w:pPr>
        <w:pStyle w:val="Style4"/>
      </w:pPr>
      <w:r w:rsidRPr="00913B09">
        <w:rPr>
          <w:lang w:val="en-US"/>
        </w:rPr>
        <w:t>Child proxy access verification</w:t>
      </w:r>
    </w:p>
    <w:p w14:paraId="5CEB8A96" w14:textId="2573429A" w:rsidR="00566B52" w:rsidRPr="00CE1A27" w:rsidRDefault="00566B52" w:rsidP="00130113">
      <w:pPr>
        <w:spacing w:after="120" w:line="240" w:lineRule="auto"/>
        <w:ind w:left="349"/>
        <w:jc w:val="both"/>
        <w:rPr>
          <w:rFonts w:eastAsia="Arial" w:cstheme="minorHAnsi"/>
          <w:spacing w:val="-2"/>
        </w:rPr>
      </w:pPr>
      <w:r w:rsidRPr="00CE1A27">
        <w:rPr>
          <w:rFonts w:eastAsia="Times New Roman" w:cstheme="minorHAnsi"/>
          <w:lang w:val="en-US"/>
        </w:rPr>
        <w:t xml:space="preserve">Before the </w:t>
      </w:r>
      <w:r w:rsidR="005177B0" w:rsidRPr="00CE1A27">
        <w:rPr>
          <w:rFonts w:eastAsia="Times New Roman" w:cstheme="minorHAnsi"/>
          <w:lang w:val="en-US"/>
        </w:rPr>
        <w:t>company</w:t>
      </w:r>
      <w:r w:rsidRPr="00CE1A27">
        <w:rPr>
          <w:rFonts w:eastAsia="Times New Roman" w:cstheme="minorHAnsi"/>
          <w:lang w:val="en-US"/>
        </w:rPr>
        <w:t xml:space="preserve"> provides parental proxy access to a child’s medical records the following checks must be made:</w:t>
      </w:r>
    </w:p>
    <w:p w14:paraId="5CEB8A97" w14:textId="77777777" w:rsidR="00566B52" w:rsidRPr="00CE1A27" w:rsidRDefault="00566B52" w:rsidP="00130113">
      <w:pPr>
        <w:widowControl w:val="0"/>
        <w:numPr>
          <w:ilvl w:val="0"/>
          <w:numId w:val="4"/>
        </w:numPr>
        <w:autoSpaceDE w:val="0"/>
        <w:autoSpaceDN w:val="0"/>
        <w:adjustRightInd w:val="0"/>
        <w:spacing w:after="120" w:line="240" w:lineRule="auto"/>
        <w:ind w:left="993" w:hanging="426"/>
        <w:jc w:val="both"/>
        <w:rPr>
          <w:rFonts w:eastAsia="Times New Roman" w:cstheme="minorHAnsi"/>
          <w:lang w:val="en-US"/>
        </w:rPr>
      </w:pPr>
      <w:r w:rsidRPr="00CE1A27">
        <w:rPr>
          <w:rFonts w:eastAsia="Times New Roman" w:cstheme="minorHAnsi"/>
          <w:lang w:val="en-US"/>
        </w:rPr>
        <w:t>The identity of the individual(s) requesting access</w:t>
      </w:r>
    </w:p>
    <w:p w14:paraId="5CEB8A98" w14:textId="77777777" w:rsidR="00566B52" w:rsidRPr="00CE1A27" w:rsidRDefault="00566B52" w:rsidP="00130113">
      <w:pPr>
        <w:widowControl w:val="0"/>
        <w:numPr>
          <w:ilvl w:val="0"/>
          <w:numId w:val="4"/>
        </w:numPr>
        <w:autoSpaceDE w:val="0"/>
        <w:autoSpaceDN w:val="0"/>
        <w:adjustRightInd w:val="0"/>
        <w:spacing w:after="120" w:line="240" w:lineRule="auto"/>
        <w:ind w:left="993" w:hanging="426"/>
        <w:jc w:val="both"/>
        <w:rPr>
          <w:rFonts w:eastAsia="Times New Roman" w:cstheme="minorHAnsi"/>
          <w:lang w:val="en-US"/>
        </w:rPr>
      </w:pPr>
      <w:r w:rsidRPr="00CE1A27">
        <w:rPr>
          <w:rFonts w:eastAsia="Times New Roman" w:cstheme="minorHAnsi"/>
          <w:lang w:val="en-US"/>
        </w:rPr>
        <w:t>That the identified person is named on the birth certificate of the child</w:t>
      </w:r>
    </w:p>
    <w:p w14:paraId="5CEB8A99" w14:textId="77777777" w:rsidR="00566B52" w:rsidRPr="00CE1A27" w:rsidRDefault="00566B52" w:rsidP="00130113">
      <w:pPr>
        <w:widowControl w:val="0"/>
        <w:numPr>
          <w:ilvl w:val="0"/>
          <w:numId w:val="4"/>
        </w:numPr>
        <w:tabs>
          <w:tab w:val="left" w:pos="220"/>
          <w:tab w:val="left" w:pos="993"/>
        </w:tabs>
        <w:autoSpaceDE w:val="0"/>
        <w:autoSpaceDN w:val="0"/>
        <w:adjustRightInd w:val="0"/>
        <w:spacing w:after="293" w:line="240" w:lineRule="auto"/>
        <w:ind w:left="993" w:hanging="426"/>
        <w:jc w:val="both"/>
        <w:rPr>
          <w:rFonts w:eastAsia="Times New Roman" w:cstheme="minorHAnsi"/>
          <w:lang w:val="en-US"/>
        </w:rPr>
      </w:pPr>
      <w:r w:rsidRPr="00CE1A27">
        <w:rPr>
          <w:rFonts w:eastAsia="Times New Roman" w:cstheme="minorHAnsi"/>
          <w:lang w:val="en-US"/>
        </w:rPr>
        <w:t>In the case of a child judged to have capacity to consent, there must be the explicit informed consent of the child, including their preference for the level of access to be given to their parent</w:t>
      </w:r>
    </w:p>
    <w:p w14:paraId="5CEB8A9A" w14:textId="77777777" w:rsidR="00566B52" w:rsidRPr="00913B09" w:rsidRDefault="00566B52" w:rsidP="002B108B">
      <w:pPr>
        <w:pStyle w:val="Style3"/>
      </w:pPr>
      <w:r w:rsidRPr="00913B09">
        <w:t>Third Party Information</w:t>
      </w:r>
    </w:p>
    <w:p w14:paraId="5CEB8A9C" w14:textId="74E4D780" w:rsidR="00566B52" w:rsidRPr="00CE1A27" w:rsidRDefault="009826D8" w:rsidP="00130113">
      <w:pPr>
        <w:spacing w:after="120" w:line="240" w:lineRule="auto"/>
        <w:ind w:left="284"/>
        <w:jc w:val="both"/>
        <w:rPr>
          <w:rFonts w:eastAsia="Arial" w:cstheme="minorHAnsi"/>
          <w:color w:val="000000"/>
          <w:spacing w:val="-2"/>
        </w:rPr>
      </w:pPr>
      <w:r w:rsidRPr="00CE1A27">
        <w:rPr>
          <w:rFonts w:eastAsia="Arial" w:cstheme="minorHAnsi"/>
          <w:color w:val="000000"/>
          <w:spacing w:val="-2"/>
        </w:rPr>
        <w:t xml:space="preserve">A </w:t>
      </w:r>
      <w:r w:rsidR="00566B52" w:rsidRPr="00CE1A27">
        <w:rPr>
          <w:rFonts w:eastAsia="Arial" w:cstheme="minorHAnsi"/>
          <w:color w:val="000000"/>
          <w:spacing w:val="-2"/>
        </w:rPr>
        <w:t>Patient</w:t>
      </w:r>
      <w:r w:rsidR="00CE1A27">
        <w:rPr>
          <w:rFonts w:eastAsia="Arial" w:cstheme="minorHAnsi"/>
          <w:color w:val="000000"/>
          <w:spacing w:val="-2"/>
        </w:rPr>
        <w:t>’</w:t>
      </w:r>
      <w:r w:rsidR="00566B52" w:rsidRPr="00CE1A27">
        <w:rPr>
          <w:rFonts w:eastAsia="Arial" w:cstheme="minorHAnsi"/>
          <w:color w:val="000000"/>
          <w:spacing w:val="-2"/>
        </w:rPr>
        <w:t>s record</w:t>
      </w:r>
      <w:r w:rsidRPr="00CE1A27">
        <w:rPr>
          <w:rFonts w:eastAsia="Arial" w:cstheme="minorHAnsi"/>
          <w:color w:val="000000"/>
          <w:spacing w:val="-2"/>
        </w:rPr>
        <w:t xml:space="preserve"> </w:t>
      </w:r>
      <w:r w:rsidR="00566B52" w:rsidRPr="00CE1A27">
        <w:rPr>
          <w:rFonts w:eastAsia="Arial" w:cstheme="minorHAnsi"/>
          <w:color w:val="000000"/>
          <w:spacing w:val="-2"/>
        </w:rPr>
        <w:t>may contain confidential information that relates to a third person. This may be information from or about another person. It may be entered in the record intentionally or by accident.</w:t>
      </w:r>
    </w:p>
    <w:p w14:paraId="5CEB8A9D" w14:textId="77777777" w:rsidR="00566B52" w:rsidRPr="00CE1A27" w:rsidRDefault="009826D8" w:rsidP="00130113">
      <w:pPr>
        <w:spacing w:after="0" w:line="240" w:lineRule="auto"/>
        <w:ind w:left="284"/>
        <w:jc w:val="both"/>
        <w:rPr>
          <w:rFonts w:eastAsia="Arial" w:cstheme="minorHAnsi"/>
          <w:color w:val="000000"/>
          <w:spacing w:val="-2"/>
        </w:rPr>
      </w:pPr>
      <w:r w:rsidRPr="00CE1A27">
        <w:rPr>
          <w:rFonts w:eastAsia="Arial" w:cstheme="minorHAnsi"/>
          <w:color w:val="000000"/>
          <w:spacing w:val="-2"/>
        </w:rPr>
        <w:t xml:space="preserve">This </w:t>
      </w:r>
      <w:r w:rsidR="00566B52" w:rsidRPr="00CE1A27">
        <w:rPr>
          <w:rFonts w:eastAsia="Arial" w:cstheme="minorHAnsi"/>
          <w:color w:val="000000"/>
          <w:spacing w:val="-2"/>
        </w:rPr>
        <w:t>does not include information about or provided by a third party that the patient would normally have access to, such as hospital letters.</w:t>
      </w:r>
    </w:p>
    <w:p w14:paraId="5CEB8A9E" w14:textId="77777777" w:rsidR="00566B52" w:rsidRPr="00CE1A27" w:rsidRDefault="00566B52" w:rsidP="00CB4B65">
      <w:pPr>
        <w:spacing w:after="0" w:line="240" w:lineRule="auto"/>
        <w:ind w:left="284"/>
        <w:rPr>
          <w:rFonts w:eastAsia="Arial" w:cstheme="minorHAnsi"/>
          <w:color w:val="000000"/>
          <w:spacing w:val="-2"/>
        </w:rPr>
      </w:pPr>
    </w:p>
    <w:p w14:paraId="5CEB8A9F" w14:textId="77777777" w:rsidR="00566B52" w:rsidRPr="00CE1A27" w:rsidRDefault="00566B52" w:rsidP="00130113">
      <w:pPr>
        <w:spacing w:after="0" w:line="240" w:lineRule="auto"/>
        <w:ind w:left="284"/>
        <w:jc w:val="both"/>
        <w:rPr>
          <w:rFonts w:eastAsia="Arial" w:cstheme="minorHAnsi"/>
          <w:spacing w:val="-2"/>
        </w:rPr>
      </w:pPr>
      <w:r w:rsidRPr="00CE1A27">
        <w:rPr>
          <w:rFonts w:eastAsia="Arial" w:cstheme="minorHAnsi"/>
          <w:spacing w:val="-2"/>
        </w:rPr>
        <w:t xml:space="preserve">All confidential third-party information must be removed or redacted. If this is not possible then access to the health records will be refused. </w:t>
      </w:r>
    </w:p>
    <w:p w14:paraId="5CEB8AA0" w14:textId="77777777" w:rsidR="00566B52" w:rsidRPr="00913B09" w:rsidRDefault="00566B52" w:rsidP="00566B52">
      <w:pPr>
        <w:spacing w:after="0" w:line="240" w:lineRule="auto"/>
        <w:jc w:val="both"/>
        <w:rPr>
          <w:rFonts w:eastAsia="Arial" w:cstheme="minorHAnsi"/>
          <w:color w:val="000000"/>
          <w:spacing w:val="-2"/>
          <w:sz w:val="24"/>
          <w:szCs w:val="24"/>
        </w:rPr>
      </w:pPr>
    </w:p>
    <w:p w14:paraId="5CEB8AA1" w14:textId="77777777" w:rsidR="00566B52" w:rsidRPr="00913B09" w:rsidRDefault="00566B52" w:rsidP="002B108B">
      <w:pPr>
        <w:pStyle w:val="Style3"/>
      </w:pPr>
      <w:r w:rsidRPr="00913B09">
        <w:t>Denial or Limitation of Information</w:t>
      </w:r>
    </w:p>
    <w:p w14:paraId="5CEB8AA4" w14:textId="273B5AA0" w:rsidR="00566B52" w:rsidRPr="00130113" w:rsidRDefault="00566B52" w:rsidP="00130113">
      <w:pPr>
        <w:spacing w:after="120" w:line="240" w:lineRule="auto"/>
        <w:ind w:left="284"/>
        <w:jc w:val="both"/>
        <w:rPr>
          <w:rFonts w:eastAsia="Arial" w:cstheme="minorHAnsi"/>
          <w:spacing w:val="-2"/>
        </w:rPr>
      </w:pPr>
      <w:r w:rsidRPr="00CE1A27">
        <w:rPr>
          <w:rFonts w:eastAsia="Arial" w:cstheme="minorHAnsi"/>
          <w:spacing w:val="-2"/>
        </w:rPr>
        <w:t xml:space="preserve">Access to </w:t>
      </w:r>
      <w:r w:rsidRPr="00130113">
        <w:rPr>
          <w:rFonts w:eastAsia="Arial" w:cstheme="minorHAnsi"/>
          <w:spacing w:val="-2"/>
        </w:rPr>
        <w:t xml:space="preserve">any health records can be denied or limited. This decision will be made by the </w:t>
      </w:r>
      <w:r w:rsidR="00704536">
        <w:rPr>
          <w:rFonts w:eastAsia="Arial" w:cstheme="minorHAnsi"/>
          <w:spacing w:val="-2"/>
        </w:rPr>
        <w:t xml:space="preserve">Service </w:t>
      </w:r>
      <w:r w:rsidRPr="00130113">
        <w:rPr>
          <w:rFonts w:eastAsia="Arial" w:cstheme="minorHAnsi"/>
          <w:spacing w:val="-2"/>
        </w:rPr>
        <w:t>Manager</w:t>
      </w:r>
      <w:r w:rsidR="00617116" w:rsidRPr="00130113">
        <w:rPr>
          <w:rFonts w:eastAsia="Arial" w:cstheme="minorHAnsi"/>
          <w:spacing w:val="-2"/>
        </w:rPr>
        <w:t xml:space="preserve"> and Clinical Lead</w:t>
      </w:r>
      <w:r w:rsidRPr="00130113">
        <w:rPr>
          <w:rFonts w:eastAsia="Arial" w:cstheme="minorHAnsi"/>
          <w:spacing w:val="-2"/>
        </w:rPr>
        <w:t xml:space="preserve"> for the </w:t>
      </w:r>
      <w:r w:rsidR="005177B0" w:rsidRPr="00130113">
        <w:rPr>
          <w:rFonts w:eastAsia="Arial" w:cstheme="minorHAnsi"/>
          <w:spacing w:val="-2"/>
        </w:rPr>
        <w:t>company</w:t>
      </w:r>
      <w:r w:rsidRPr="00130113">
        <w:rPr>
          <w:rFonts w:eastAsia="Arial" w:cstheme="minorHAnsi"/>
          <w:spacing w:val="-2"/>
        </w:rPr>
        <w:t>.</w:t>
      </w:r>
    </w:p>
    <w:p w14:paraId="5CEB8AA6" w14:textId="4875782C" w:rsidR="00566B52" w:rsidRPr="00130113" w:rsidRDefault="00566B52" w:rsidP="00130113">
      <w:pPr>
        <w:spacing w:after="120" w:line="240" w:lineRule="auto"/>
        <w:ind w:left="284"/>
        <w:jc w:val="both"/>
        <w:rPr>
          <w:rFonts w:eastAsia="Arial" w:cstheme="minorHAnsi"/>
          <w:spacing w:val="-2"/>
        </w:rPr>
      </w:pPr>
      <w:r w:rsidRPr="00130113">
        <w:rPr>
          <w:rFonts w:eastAsia="Arial" w:cstheme="minorHAnsi"/>
          <w:spacing w:val="-2"/>
        </w:rPr>
        <w:t>Access will be denied or limited where</w:t>
      </w:r>
      <w:r w:rsidR="00EA79A4" w:rsidRPr="00130113">
        <w:rPr>
          <w:rFonts w:eastAsia="Arial" w:cstheme="minorHAnsi"/>
          <w:spacing w:val="-2"/>
        </w:rPr>
        <w:t>,</w:t>
      </w:r>
      <w:r w:rsidRPr="00130113">
        <w:rPr>
          <w:rFonts w:eastAsia="Arial" w:cstheme="minorHAnsi"/>
          <w:spacing w:val="-2"/>
        </w:rPr>
        <w:t xml:space="preserve"> in the reasonable opinion of the </w:t>
      </w:r>
      <w:r w:rsidR="0055416C" w:rsidRPr="00130113">
        <w:rPr>
          <w:rFonts w:eastAsia="Arial" w:cstheme="minorHAnsi"/>
          <w:spacing w:val="-2"/>
        </w:rPr>
        <w:t>Clinical Lead</w:t>
      </w:r>
      <w:r w:rsidR="00757417" w:rsidRPr="00130113">
        <w:rPr>
          <w:rFonts w:eastAsia="Arial" w:cstheme="minorHAnsi"/>
          <w:spacing w:val="-2"/>
        </w:rPr>
        <w:t>,</w:t>
      </w:r>
      <w:r w:rsidRPr="00130113">
        <w:rPr>
          <w:rFonts w:eastAsia="Arial" w:cstheme="minorHAnsi"/>
          <w:spacing w:val="-2"/>
        </w:rPr>
        <w:t xml:space="preserve"> access to such information would not be in the patient’s best interests because it is likely to cause serious harm to: </w:t>
      </w:r>
    </w:p>
    <w:p w14:paraId="5CEB8AA7" w14:textId="77777777" w:rsidR="00566B52" w:rsidRPr="00130113" w:rsidRDefault="00566B52" w:rsidP="00130113">
      <w:pPr>
        <w:numPr>
          <w:ilvl w:val="0"/>
          <w:numId w:val="10"/>
        </w:numPr>
        <w:spacing w:after="0" w:line="240" w:lineRule="auto"/>
        <w:ind w:left="851" w:hanging="284"/>
        <w:jc w:val="both"/>
        <w:rPr>
          <w:rFonts w:eastAsia="Arial" w:cstheme="minorHAnsi"/>
          <w:spacing w:val="-2"/>
        </w:rPr>
      </w:pPr>
      <w:r w:rsidRPr="00130113">
        <w:rPr>
          <w:rFonts w:eastAsia="Arial" w:cstheme="minorHAnsi"/>
          <w:spacing w:val="-2"/>
        </w:rPr>
        <w:t xml:space="preserve">The patient’s physical or mental health, or </w:t>
      </w:r>
    </w:p>
    <w:p w14:paraId="5CEB8AA8" w14:textId="77777777" w:rsidR="00566B52" w:rsidRPr="00130113" w:rsidRDefault="00566B52" w:rsidP="00130113">
      <w:pPr>
        <w:numPr>
          <w:ilvl w:val="0"/>
          <w:numId w:val="10"/>
        </w:numPr>
        <w:spacing w:after="0" w:line="240" w:lineRule="auto"/>
        <w:ind w:left="851" w:hanging="284"/>
        <w:jc w:val="both"/>
        <w:rPr>
          <w:rFonts w:eastAsia="Arial" w:cstheme="minorHAnsi"/>
          <w:spacing w:val="-2"/>
        </w:rPr>
      </w:pPr>
      <w:r w:rsidRPr="00130113">
        <w:rPr>
          <w:rFonts w:eastAsia="Arial" w:cstheme="minorHAnsi"/>
          <w:spacing w:val="-2"/>
        </w:rPr>
        <w:t>The physical or mental health of any other person</w:t>
      </w:r>
    </w:p>
    <w:p w14:paraId="5CEB8AAA" w14:textId="1646BC25" w:rsidR="00566B52" w:rsidRPr="00130113" w:rsidRDefault="00566B52" w:rsidP="00130113">
      <w:pPr>
        <w:numPr>
          <w:ilvl w:val="0"/>
          <w:numId w:val="10"/>
        </w:numPr>
        <w:spacing w:after="120" w:line="240" w:lineRule="auto"/>
        <w:ind w:left="851" w:hanging="284"/>
        <w:jc w:val="both"/>
        <w:rPr>
          <w:rFonts w:eastAsia="Arial" w:cstheme="minorHAnsi"/>
          <w:spacing w:val="-2"/>
        </w:rPr>
      </w:pPr>
      <w:r w:rsidRPr="00130113">
        <w:rPr>
          <w:rFonts w:eastAsia="Arial" w:cstheme="minorHAnsi"/>
          <w:spacing w:val="-2"/>
        </w:rPr>
        <w:t>The information includes a reference to any third party who has not consented to its disclosure</w:t>
      </w:r>
    </w:p>
    <w:p w14:paraId="5CEB8AAB" w14:textId="77777777" w:rsidR="00566B52" w:rsidRPr="00913B09" w:rsidRDefault="00566B52" w:rsidP="00130113">
      <w:pPr>
        <w:spacing w:after="0" w:line="240" w:lineRule="auto"/>
        <w:ind w:left="284"/>
        <w:jc w:val="both"/>
        <w:rPr>
          <w:rFonts w:eastAsia="Arial" w:cstheme="minorHAnsi"/>
          <w:spacing w:val="-2"/>
          <w:sz w:val="24"/>
          <w:szCs w:val="24"/>
        </w:rPr>
      </w:pPr>
      <w:r w:rsidRPr="00130113">
        <w:rPr>
          <w:rFonts w:eastAsia="Arial" w:cstheme="minorHAnsi"/>
          <w:spacing w:val="-2"/>
        </w:rPr>
        <w:t>A reason for denial of information must be recorded in the medical records and where possible an</w:t>
      </w:r>
      <w:r w:rsidR="00617116" w:rsidRPr="00130113">
        <w:rPr>
          <w:rFonts w:eastAsia="Arial" w:cstheme="minorHAnsi"/>
          <w:spacing w:val="-2"/>
        </w:rPr>
        <w:t xml:space="preserve"> </w:t>
      </w:r>
      <w:r w:rsidRPr="00130113">
        <w:rPr>
          <w:rFonts w:eastAsia="Arial" w:cstheme="minorHAnsi"/>
          <w:spacing w:val="-2"/>
        </w:rPr>
        <w:t>appropriate</w:t>
      </w:r>
      <w:r w:rsidRPr="00913B09">
        <w:rPr>
          <w:rFonts w:eastAsia="Arial" w:cstheme="minorHAnsi"/>
          <w:spacing w:val="-2"/>
          <w:sz w:val="24"/>
          <w:szCs w:val="24"/>
        </w:rPr>
        <w:t xml:space="preserve"> an appointment will be made with the patient to explain the decision. </w:t>
      </w:r>
    </w:p>
    <w:p w14:paraId="5CEB8AAC" w14:textId="77777777" w:rsidR="0078063E" w:rsidRPr="00913B09" w:rsidRDefault="0078063E" w:rsidP="00566B52">
      <w:pPr>
        <w:spacing w:after="0" w:line="240" w:lineRule="auto"/>
        <w:jc w:val="both"/>
        <w:rPr>
          <w:rFonts w:eastAsia="Arial" w:cstheme="minorHAnsi"/>
          <w:color w:val="000000"/>
          <w:spacing w:val="-2"/>
          <w:sz w:val="24"/>
          <w:szCs w:val="24"/>
        </w:rPr>
      </w:pPr>
    </w:p>
    <w:p w14:paraId="77725021" w14:textId="77777777" w:rsidR="00CE1A27" w:rsidRDefault="00CE1A27" w:rsidP="00CF63A2">
      <w:pPr>
        <w:tabs>
          <w:tab w:val="left" w:pos="5109"/>
        </w:tabs>
        <w:spacing w:after="0" w:line="240" w:lineRule="auto"/>
        <w:textAlignment w:val="baseline"/>
        <w:rPr>
          <w:rFonts w:eastAsia="Times New Roman" w:cstheme="minorHAnsi"/>
          <w:b/>
          <w:color w:val="000000"/>
          <w:spacing w:val="-2"/>
          <w:sz w:val="24"/>
          <w:szCs w:val="24"/>
          <w:lang w:eastAsia="en-GB"/>
        </w:rPr>
      </w:pPr>
    </w:p>
    <w:p w14:paraId="5CEB8AAE" w14:textId="7128FFB2" w:rsidR="00CF63A2" w:rsidRPr="00913B09" w:rsidRDefault="00130113" w:rsidP="00130113">
      <w:pPr>
        <w:pStyle w:val="Style4"/>
        <w:ind w:left="0"/>
        <w:rPr>
          <w:lang w:eastAsia="en-GB"/>
        </w:rPr>
      </w:pPr>
      <w:r>
        <w:rPr>
          <w:lang w:eastAsia="en-GB"/>
        </w:rPr>
        <w:t>Can</w:t>
      </w:r>
      <w:r w:rsidR="00CF63A2" w:rsidRPr="00913B09">
        <w:rPr>
          <w:lang w:eastAsia="en-GB"/>
        </w:rPr>
        <w:t xml:space="preserve"> a subject access request be refused?</w:t>
      </w:r>
      <w:r w:rsidR="00CF63A2" w:rsidRPr="00913B09">
        <w:rPr>
          <w:lang w:eastAsia="en-GB"/>
        </w:rPr>
        <w:tab/>
      </w:r>
    </w:p>
    <w:p w14:paraId="5CEB8AB0" w14:textId="048E25F9" w:rsidR="0078063E" w:rsidRPr="00130113" w:rsidRDefault="00CF63A2" w:rsidP="00130113">
      <w:pPr>
        <w:spacing w:after="0" w:line="240" w:lineRule="auto"/>
        <w:ind w:left="284"/>
        <w:jc w:val="both"/>
        <w:textAlignment w:val="baseline"/>
        <w:rPr>
          <w:rFonts w:eastAsia="Arial" w:cstheme="minorHAnsi"/>
          <w:color w:val="000000"/>
          <w:spacing w:val="-2"/>
        </w:rPr>
      </w:pPr>
      <w:r w:rsidRPr="00130113">
        <w:rPr>
          <w:rFonts w:eastAsia="Times New Roman" w:cstheme="minorHAnsi"/>
          <w:color w:val="000000"/>
          <w:spacing w:val="-2"/>
          <w:lang w:eastAsia="en-GB"/>
        </w:rPr>
        <w:lastRenderedPageBreak/>
        <w:t xml:space="preserve">The </w:t>
      </w:r>
      <w:r w:rsidR="005177B0" w:rsidRPr="00130113">
        <w:rPr>
          <w:rFonts w:eastAsia="Times New Roman" w:cstheme="minorHAnsi"/>
          <w:color w:val="000000"/>
          <w:spacing w:val="-2"/>
          <w:lang w:eastAsia="en-GB"/>
        </w:rPr>
        <w:t>Company</w:t>
      </w:r>
      <w:r w:rsidRPr="00130113">
        <w:rPr>
          <w:rFonts w:eastAsia="Times New Roman" w:cstheme="minorHAnsi"/>
          <w:color w:val="000000"/>
          <w:spacing w:val="-2"/>
          <w:lang w:eastAsia="en-GB"/>
        </w:rPr>
        <w:t xml:space="preserve"> can refuse a request where the request is ‘manifestly unfounded or </w:t>
      </w:r>
      <w:r w:rsidR="00CB4B65" w:rsidRPr="00130113">
        <w:rPr>
          <w:rFonts w:eastAsia="Times New Roman" w:cstheme="minorHAnsi"/>
          <w:color w:val="000000"/>
          <w:spacing w:val="-2"/>
          <w:lang w:eastAsia="en-GB"/>
        </w:rPr>
        <w:t>excessive ‘or ‘</w:t>
      </w:r>
      <w:r w:rsidRPr="00130113">
        <w:rPr>
          <w:rFonts w:eastAsia="Times New Roman" w:cstheme="minorHAnsi"/>
          <w:color w:val="000000"/>
          <w:spacing w:val="-2"/>
          <w:lang w:eastAsia="en-GB"/>
        </w:rPr>
        <w:t>repetitive’</w:t>
      </w:r>
      <w:r w:rsidR="00EA79A4" w:rsidRPr="00130113">
        <w:rPr>
          <w:rFonts w:eastAsia="Times New Roman" w:cstheme="minorHAnsi"/>
          <w:color w:val="000000"/>
          <w:spacing w:val="-2"/>
          <w:lang w:eastAsia="en-GB"/>
        </w:rPr>
        <w:t>.  T</w:t>
      </w:r>
      <w:r w:rsidRPr="00130113">
        <w:rPr>
          <w:rFonts w:eastAsia="Times New Roman" w:cstheme="minorHAnsi"/>
          <w:color w:val="000000"/>
          <w:spacing w:val="-2"/>
          <w:lang w:eastAsia="en-GB"/>
        </w:rPr>
        <w:t xml:space="preserve">he requester must be informed of the reason why within one month of the receipt of the request.  If the </w:t>
      </w:r>
      <w:r w:rsidR="005177B0" w:rsidRPr="00130113">
        <w:rPr>
          <w:rFonts w:eastAsia="Times New Roman" w:cstheme="minorHAnsi"/>
          <w:color w:val="000000"/>
          <w:spacing w:val="-2"/>
          <w:lang w:eastAsia="en-GB"/>
        </w:rPr>
        <w:t>company</w:t>
      </w:r>
      <w:r w:rsidRPr="00130113">
        <w:rPr>
          <w:rFonts w:eastAsia="Times New Roman" w:cstheme="minorHAnsi"/>
          <w:color w:val="000000"/>
          <w:spacing w:val="-2"/>
          <w:lang w:eastAsia="en-GB"/>
        </w:rPr>
        <w:t xml:space="preserve"> decides to apply this option advice MUST be sought from the </w:t>
      </w:r>
      <w:r w:rsidR="005177B0" w:rsidRPr="00130113">
        <w:rPr>
          <w:rFonts w:eastAsia="Times New Roman" w:cstheme="minorHAnsi"/>
          <w:color w:val="000000"/>
          <w:spacing w:val="-2"/>
          <w:lang w:eastAsia="en-GB"/>
        </w:rPr>
        <w:t>company</w:t>
      </w:r>
      <w:r w:rsidRPr="00130113">
        <w:rPr>
          <w:rFonts w:eastAsia="Times New Roman" w:cstheme="minorHAnsi"/>
          <w:color w:val="000000"/>
          <w:spacing w:val="-2"/>
          <w:lang w:eastAsia="en-GB"/>
        </w:rPr>
        <w:t xml:space="preserve"> Data Protection Officer, Tara Moylan, Howbeck Healthcare at </w:t>
      </w:r>
      <w:hyperlink r:id="rId7" w:history="1">
        <w:r w:rsidRPr="00130113">
          <w:rPr>
            <w:rStyle w:val="Hyperlink"/>
            <w:rFonts w:eastAsia="Times New Roman" w:cstheme="minorHAnsi"/>
            <w:spacing w:val="-2"/>
            <w:lang w:eastAsia="en-GB"/>
          </w:rPr>
          <w:t>DPO.healthcare@nhs.net</w:t>
        </w:r>
      </w:hyperlink>
      <w:r w:rsidR="003E2DC4" w:rsidRPr="00130113">
        <w:rPr>
          <w:rStyle w:val="Hyperlink"/>
          <w:rFonts w:eastAsia="Times New Roman" w:cstheme="minorHAnsi"/>
          <w:spacing w:val="-2"/>
          <w:lang w:eastAsia="en-GB"/>
        </w:rPr>
        <w:t xml:space="preserve">  </w:t>
      </w:r>
      <w:r w:rsidR="003E2DC4" w:rsidRPr="00130113">
        <w:rPr>
          <w:rStyle w:val="Hyperlink"/>
          <w:rFonts w:eastAsia="Times New Roman" w:cstheme="minorHAnsi"/>
          <w:color w:val="auto"/>
          <w:spacing w:val="-2"/>
          <w:u w:val="none"/>
          <w:lang w:eastAsia="en-GB"/>
        </w:rPr>
        <w:t>or 01270 275217</w:t>
      </w:r>
    </w:p>
    <w:p w14:paraId="5CEB8AB1" w14:textId="77777777" w:rsidR="009826D8" w:rsidRPr="00913B09" w:rsidRDefault="009826D8" w:rsidP="009826D8">
      <w:pPr>
        <w:spacing w:after="0" w:line="240" w:lineRule="auto"/>
        <w:textAlignment w:val="baseline"/>
        <w:rPr>
          <w:rFonts w:eastAsia="Times New Roman" w:cstheme="minorHAnsi"/>
          <w:color w:val="000000"/>
          <w:spacing w:val="-2"/>
          <w:sz w:val="24"/>
          <w:szCs w:val="24"/>
          <w:lang w:eastAsia="en-GB"/>
        </w:rPr>
      </w:pPr>
    </w:p>
    <w:p w14:paraId="5CEB8AB2" w14:textId="77777777" w:rsidR="00CF63A2" w:rsidRPr="00913B09" w:rsidRDefault="00CF63A2" w:rsidP="002B108B">
      <w:pPr>
        <w:pStyle w:val="Style3"/>
        <w:rPr>
          <w:lang w:val="en" w:eastAsia="en-GB"/>
        </w:rPr>
      </w:pPr>
      <w:r w:rsidRPr="00913B09">
        <w:rPr>
          <w:lang w:val="en" w:eastAsia="en-GB"/>
        </w:rPr>
        <w:t>Timeframe for responding to requests</w:t>
      </w:r>
    </w:p>
    <w:p w14:paraId="5CEB8AB5" w14:textId="234D5CD8" w:rsidR="00CF63A2" w:rsidRPr="00130113" w:rsidRDefault="00CF63A2" w:rsidP="00130113">
      <w:pPr>
        <w:shd w:val="clear" w:color="auto" w:fill="FFFFFF"/>
        <w:spacing w:after="120" w:line="240" w:lineRule="auto"/>
        <w:ind w:left="357"/>
        <w:outlineLvl w:val="0"/>
        <w:rPr>
          <w:rFonts w:eastAsia="Times New Roman" w:cstheme="minorHAnsi"/>
          <w:bCs/>
          <w:color w:val="000000"/>
          <w:spacing w:val="-2"/>
          <w:kern w:val="36"/>
          <w:u w:val="single"/>
          <w:lang w:val="en" w:eastAsia="en-GB"/>
        </w:rPr>
      </w:pPr>
      <w:r w:rsidRPr="00130113">
        <w:rPr>
          <w:rFonts w:eastAsia="Times New Roman" w:cstheme="minorHAnsi"/>
          <w:bCs/>
          <w:color w:val="000000"/>
          <w:spacing w:val="-2"/>
          <w:kern w:val="36"/>
          <w:lang w:val="en" w:eastAsia="en-GB"/>
        </w:rPr>
        <w:t xml:space="preserve">The </w:t>
      </w:r>
      <w:r w:rsidRPr="00130113">
        <w:rPr>
          <w:rFonts w:eastAsia="Times New Roman" w:cstheme="minorHAnsi"/>
          <w:b/>
          <w:color w:val="000000"/>
          <w:spacing w:val="-2"/>
          <w:kern w:val="36"/>
          <w:lang w:val="en" w:eastAsia="en-GB"/>
        </w:rPr>
        <w:t>Statutory</w:t>
      </w:r>
      <w:r w:rsidRPr="00130113">
        <w:rPr>
          <w:rFonts w:eastAsia="Times New Roman" w:cstheme="minorHAnsi"/>
          <w:bCs/>
          <w:color w:val="000000"/>
          <w:spacing w:val="-2"/>
          <w:kern w:val="36"/>
          <w:lang w:val="en" w:eastAsia="en-GB"/>
        </w:rPr>
        <w:t xml:space="preserve"> timeframe has now been reduced to </w:t>
      </w:r>
      <w:r w:rsidRPr="00130113">
        <w:rPr>
          <w:rFonts w:eastAsia="Times New Roman" w:cstheme="minorHAnsi"/>
          <w:b/>
          <w:bCs/>
          <w:color w:val="000000"/>
          <w:spacing w:val="-2"/>
          <w:kern w:val="36"/>
          <w:lang w:val="en" w:eastAsia="en-GB"/>
        </w:rPr>
        <w:t>one month</w:t>
      </w:r>
      <w:r w:rsidRPr="00130113">
        <w:rPr>
          <w:rFonts w:eastAsia="Times New Roman" w:cstheme="minorHAnsi"/>
          <w:bCs/>
          <w:color w:val="000000"/>
          <w:spacing w:val="-2"/>
          <w:kern w:val="36"/>
          <w:lang w:val="en" w:eastAsia="en-GB"/>
        </w:rPr>
        <w:t xml:space="preserve"> of receipt of the request, and in any event </w:t>
      </w:r>
      <w:r w:rsidRPr="00130113">
        <w:rPr>
          <w:rFonts w:eastAsia="Times New Roman" w:cstheme="minorHAnsi"/>
          <w:b/>
          <w:color w:val="000000"/>
          <w:spacing w:val="-2"/>
          <w:kern w:val="36"/>
          <w:lang w:val="en" w:eastAsia="en-GB"/>
        </w:rPr>
        <w:t>without delay.</w:t>
      </w:r>
      <w:r w:rsidR="00EA79A4" w:rsidRPr="00130113">
        <w:rPr>
          <w:rFonts w:eastAsia="Times New Roman" w:cstheme="minorHAnsi"/>
          <w:b/>
          <w:color w:val="000000"/>
          <w:spacing w:val="-2"/>
          <w:kern w:val="36"/>
          <w:lang w:val="en" w:eastAsia="en-GB"/>
        </w:rPr>
        <w:t xml:space="preserve"> </w:t>
      </w:r>
      <w:r w:rsidRPr="00130113">
        <w:rPr>
          <w:rFonts w:eastAsia="Times New Roman" w:cstheme="minorHAnsi"/>
          <w:b/>
          <w:color w:val="000000"/>
          <w:spacing w:val="-2"/>
          <w:kern w:val="36"/>
          <w:lang w:val="en" w:eastAsia="en-GB"/>
        </w:rPr>
        <w:t xml:space="preserve"> </w:t>
      </w:r>
      <w:r w:rsidRPr="00130113">
        <w:rPr>
          <w:rFonts w:eastAsia="Times New Roman" w:cstheme="minorHAnsi"/>
          <w:bCs/>
          <w:color w:val="000000"/>
          <w:spacing w:val="-2"/>
          <w:kern w:val="36"/>
          <w:lang w:val="en" w:eastAsia="en-GB"/>
        </w:rPr>
        <w:t>In Accordance with Article 12 of the GDPR 2016.</w:t>
      </w:r>
    </w:p>
    <w:p w14:paraId="5CEB8AB6" w14:textId="77777777" w:rsidR="00CF63A2" w:rsidRPr="00130113" w:rsidRDefault="00CF63A2" w:rsidP="00CB4B65">
      <w:pPr>
        <w:spacing w:after="0" w:line="240" w:lineRule="auto"/>
        <w:ind w:left="360"/>
        <w:textAlignment w:val="baseline"/>
        <w:rPr>
          <w:rFonts w:eastAsia="Times New Roman" w:cstheme="minorHAnsi"/>
          <w:color w:val="000000"/>
          <w:spacing w:val="-2"/>
          <w:lang w:eastAsia="en-GB"/>
        </w:rPr>
      </w:pPr>
      <w:r w:rsidRPr="00130113">
        <w:rPr>
          <w:rFonts w:eastAsia="Times New Roman" w:cstheme="minorHAnsi"/>
          <w:color w:val="000000"/>
          <w:spacing w:val="-2"/>
          <w:lang w:eastAsia="en-GB"/>
        </w:rPr>
        <w:t>This can be extended by a further two months where requests are determined to be ‘complex’ or ‘numerous.</w:t>
      </w:r>
    </w:p>
    <w:p w14:paraId="5CEB8AB7" w14:textId="77777777" w:rsidR="00CF63A2" w:rsidRPr="00130113" w:rsidRDefault="00CF63A2" w:rsidP="00CB4B65">
      <w:pPr>
        <w:spacing w:after="0" w:line="240" w:lineRule="auto"/>
        <w:ind w:left="360"/>
        <w:textAlignment w:val="baseline"/>
        <w:rPr>
          <w:rFonts w:eastAsia="Times New Roman" w:cstheme="minorHAnsi"/>
          <w:color w:val="000000"/>
          <w:spacing w:val="-2"/>
          <w:lang w:eastAsia="en-GB"/>
        </w:rPr>
      </w:pPr>
    </w:p>
    <w:p w14:paraId="5CEB8AB9" w14:textId="1655E36E" w:rsidR="00CF63A2" w:rsidRPr="00130113" w:rsidRDefault="00CF63A2" w:rsidP="00130113">
      <w:pPr>
        <w:shd w:val="clear" w:color="auto" w:fill="FFFFFF"/>
        <w:spacing w:after="0" w:line="240" w:lineRule="auto"/>
        <w:ind w:left="360"/>
        <w:outlineLvl w:val="0"/>
        <w:rPr>
          <w:rFonts w:eastAsia="Times New Roman" w:cstheme="minorHAnsi"/>
          <w:bCs/>
          <w:color w:val="000000"/>
          <w:spacing w:val="-2"/>
          <w:kern w:val="36"/>
          <w:lang w:val="en" w:eastAsia="en-GB"/>
        </w:rPr>
      </w:pPr>
      <w:r w:rsidRPr="00130113">
        <w:rPr>
          <w:rFonts w:eastAsia="Times New Roman" w:cstheme="minorHAnsi"/>
          <w:bCs/>
          <w:color w:val="000000"/>
          <w:spacing w:val="-2"/>
          <w:kern w:val="36"/>
          <w:lang w:val="en" w:eastAsia="en-GB"/>
        </w:rPr>
        <w:t xml:space="preserve">GDPR </w:t>
      </w:r>
      <w:r w:rsidRPr="00130113">
        <w:rPr>
          <w:rFonts w:eastAsia="Times New Roman" w:cstheme="minorHAnsi"/>
          <w:b/>
          <w:bCs/>
          <w:color w:val="000000"/>
          <w:spacing w:val="-2"/>
          <w:kern w:val="36"/>
          <w:lang w:val="en" w:eastAsia="en-GB"/>
        </w:rPr>
        <w:t>does not</w:t>
      </w:r>
      <w:r w:rsidRPr="00130113">
        <w:rPr>
          <w:rFonts w:eastAsia="Times New Roman" w:cstheme="minorHAnsi"/>
          <w:bCs/>
          <w:color w:val="000000"/>
          <w:spacing w:val="-2"/>
          <w:kern w:val="36"/>
          <w:lang w:val="en" w:eastAsia="en-GB"/>
        </w:rPr>
        <w:t xml:space="preserve"> allow for a fee, so it must be provided free of charge.   However, some charges can be made in the following circumstances:</w:t>
      </w:r>
    </w:p>
    <w:p w14:paraId="5CEB8ABA" w14:textId="77777777" w:rsidR="00CF63A2" w:rsidRPr="00130113" w:rsidRDefault="00CF63A2" w:rsidP="00EA79A4">
      <w:pPr>
        <w:numPr>
          <w:ilvl w:val="0"/>
          <w:numId w:val="8"/>
        </w:numPr>
        <w:spacing w:after="0" w:line="240" w:lineRule="auto"/>
        <w:ind w:left="709"/>
        <w:contextualSpacing/>
        <w:textAlignment w:val="baseline"/>
        <w:rPr>
          <w:rFonts w:eastAsia="Times New Roman" w:cstheme="minorHAnsi"/>
          <w:color w:val="000000"/>
          <w:spacing w:val="-2"/>
          <w:lang w:eastAsia="en-GB"/>
        </w:rPr>
      </w:pPr>
      <w:r w:rsidRPr="00130113">
        <w:rPr>
          <w:rFonts w:eastAsia="Times New Roman" w:cstheme="minorHAnsi"/>
          <w:color w:val="000000"/>
          <w:spacing w:val="-2"/>
          <w:lang w:eastAsia="en-GB"/>
        </w:rPr>
        <w:t xml:space="preserve">where further copies are requested by the data subject, </w:t>
      </w:r>
    </w:p>
    <w:p w14:paraId="5CEB8ABB" w14:textId="473D6625" w:rsidR="00EA79A4" w:rsidRPr="00130113" w:rsidRDefault="00CF63A2" w:rsidP="00EA79A4">
      <w:pPr>
        <w:numPr>
          <w:ilvl w:val="0"/>
          <w:numId w:val="8"/>
        </w:numPr>
        <w:spacing w:after="0" w:line="240" w:lineRule="auto"/>
        <w:ind w:left="709"/>
        <w:contextualSpacing/>
        <w:textAlignment w:val="baseline"/>
        <w:rPr>
          <w:rFonts w:eastAsia="Times New Roman" w:cstheme="minorHAnsi"/>
          <w:color w:val="000000"/>
          <w:spacing w:val="-2"/>
          <w:lang w:eastAsia="en-GB"/>
        </w:rPr>
      </w:pPr>
      <w:r w:rsidRPr="00130113">
        <w:rPr>
          <w:rFonts w:eastAsia="Times New Roman" w:cstheme="minorHAnsi"/>
          <w:color w:val="000000"/>
          <w:spacing w:val="-2"/>
          <w:lang w:eastAsia="en-GB"/>
        </w:rPr>
        <w:t xml:space="preserve">or the request is manifestly unfounded, or excessive (definitions still required by the ICO) a reasonable fee based on the </w:t>
      </w:r>
      <w:r w:rsidR="00130113" w:rsidRPr="00130113">
        <w:rPr>
          <w:rFonts w:eastAsia="Times New Roman" w:cstheme="minorHAnsi"/>
          <w:color w:val="000000"/>
          <w:spacing w:val="-2"/>
          <w:lang w:eastAsia="en-GB"/>
        </w:rPr>
        <w:t>organisation’s</w:t>
      </w:r>
      <w:r w:rsidRPr="00130113">
        <w:rPr>
          <w:rFonts w:eastAsia="Times New Roman" w:cstheme="minorHAnsi"/>
          <w:color w:val="000000"/>
          <w:spacing w:val="-2"/>
          <w:lang w:eastAsia="en-GB"/>
        </w:rPr>
        <w:t xml:space="preserve"> administration costs may be charged</w:t>
      </w:r>
    </w:p>
    <w:p w14:paraId="5CEB8ABC" w14:textId="77777777" w:rsidR="00EA79A4" w:rsidRPr="00913B09" w:rsidRDefault="00EA79A4" w:rsidP="00CB4B65">
      <w:pPr>
        <w:spacing w:after="0" w:line="240" w:lineRule="auto"/>
        <w:contextualSpacing/>
        <w:textAlignment w:val="baseline"/>
        <w:rPr>
          <w:rFonts w:eastAsia="Arial" w:cstheme="minorHAnsi"/>
          <w:color w:val="000000"/>
          <w:spacing w:val="-2"/>
          <w:sz w:val="24"/>
          <w:szCs w:val="24"/>
        </w:rPr>
      </w:pPr>
    </w:p>
    <w:p w14:paraId="5CEB8ABD" w14:textId="77777777" w:rsidR="00566B52" w:rsidRPr="00913B09" w:rsidRDefault="00566B52" w:rsidP="002B108B">
      <w:pPr>
        <w:pStyle w:val="Style3"/>
      </w:pPr>
      <w:r w:rsidRPr="00913B09">
        <w:t>Proxy Access to Medical Records</w:t>
      </w:r>
    </w:p>
    <w:p w14:paraId="5CEB8ABF" w14:textId="77777777" w:rsidR="00566B52" w:rsidRPr="007146C1" w:rsidRDefault="00566B52" w:rsidP="00CB4B65">
      <w:pPr>
        <w:widowControl w:val="0"/>
        <w:autoSpaceDE w:val="0"/>
        <w:autoSpaceDN w:val="0"/>
        <w:adjustRightInd w:val="0"/>
        <w:spacing w:after="240" w:line="240" w:lineRule="auto"/>
        <w:ind w:left="284"/>
        <w:rPr>
          <w:rFonts w:eastAsia="Arial" w:cstheme="minorHAnsi"/>
          <w:color w:val="000000"/>
          <w:spacing w:val="-2"/>
        </w:rPr>
      </w:pPr>
      <w:r w:rsidRPr="007146C1">
        <w:rPr>
          <w:rFonts w:eastAsia="Times New Roman" w:cstheme="minorHAnsi"/>
          <w:lang w:val="en-US"/>
        </w:rPr>
        <w:t xml:space="preserve">Proxy access is when an individual other than the patient has access to an individual’s medical record on their behalf to assist in their care. </w:t>
      </w:r>
      <w:r w:rsidR="00EA79A4" w:rsidRPr="007146C1">
        <w:rPr>
          <w:rFonts w:eastAsia="Times New Roman" w:cstheme="minorHAnsi"/>
          <w:lang w:val="en-US"/>
        </w:rPr>
        <w:t xml:space="preserve"> </w:t>
      </w:r>
      <w:r w:rsidRPr="007146C1">
        <w:rPr>
          <w:rFonts w:eastAsia="Arial" w:cstheme="minorHAnsi"/>
          <w:color w:val="000000"/>
          <w:spacing w:val="-2"/>
        </w:rPr>
        <w:t xml:space="preserve">Proxy access arises in both adults and children and is dealt with differently according to whether the patient has capacity or not. </w:t>
      </w:r>
    </w:p>
    <w:p w14:paraId="5CEB8AC0" w14:textId="77777777" w:rsidR="00566B52" w:rsidRPr="007146C1" w:rsidRDefault="00566B52" w:rsidP="00CB4B65">
      <w:pPr>
        <w:widowControl w:val="0"/>
        <w:autoSpaceDE w:val="0"/>
        <w:autoSpaceDN w:val="0"/>
        <w:adjustRightInd w:val="0"/>
        <w:spacing w:after="240" w:line="240" w:lineRule="auto"/>
        <w:ind w:left="284"/>
        <w:rPr>
          <w:rFonts w:eastAsia="Arial" w:cstheme="minorHAnsi"/>
          <w:spacing w:val="-2"/>
        </w:rPr>
      </w:pPr>
      <w:r w:rsidRPr="007146C1">
        <w:rPr>
          <w:rFonts w:eastAsia="Times New Roman" w:cstheme="minorHAnsi"/>
          <w:lang w:val="en-US"/>
        </w:rPr>
        <w:t xml:space="preserve">The patient’s proxy should have their own login details to the patient’s record. </w:t>
      </w:r>
      <w:r w:rsidR="00EA79A4" w:rsidRPr="007146C1">
        <w:rPr>
          <w:rFonts w:eastAsia="Times New Roman" w:cstheme="minorHAnsi"/>
          <w:lang w:val="en-US"/>
        </w:rPr>
        <w:t xml:space="preserve"> </w:t>
      </w:r>
      <w:r w:rsidRPr="007146C1">
        <w:rPr>
          <w:rFonts w:eastAsia="Times New Roman" w:cstheme="minorHAnsi"/>
          <w:lang w:val="en-US"/>
        </w:rPr>
        <w:t xml:space="preserve">If a patient wants to have more than one proxy, they should all have </w:t>
      </w:r>
      <w:r w:rsidR="00EA79A4" w:rsidRPr="007146C1">
        <w:rPr>
          <w:rFonts w:eastAsia="Times New Roman" w:cstheme="minorHAnsi"/>
          <w:lang w:val="en-US"/>
        </w:rPr>
        <w:t>individual</w:t>
      </w:r>
      <w:r w:rsidRPr="007146C1">
        <w:rPr>
          <w:rFonts w:eastAsia="Times New Roman" w:cstheme="minorHAnsi"/>
          <w:lang w:val="en-US"/>
        </w:rPr>
        <w:t xml:space="preserve"> login details. </w:t>
      </w:r>
      <w:r w:rsidR="00EA79A4" w:rsidRPr="007146C1">
        <w:rPr>
          <w:rFonts w:eastAsia="Times New Roman" w:cstheme="minorHAnsi"/>
          <w:lang w:val="en-US"/>
        </w:rPr>
        <w:t xml:space="preserve"> </w:t>
      </w:r>
      <w:r w:rsidRPr="007146C1">
        <w:rPr>
          <w:rFonts w:eastAsia="Times New Roman" w:cstheme="minorHAnsi"/>
          <w:lang w:val="en-US"/>
        </w:rPr>
        <w:t>In the current version of our electronic records system (EMIS</w:t>
      </w:r>
      <w:r w:rsidR="00EA79A4" w:rsidRPr="007146C1">
        <w:rPr>
          <w:rFonts w:eastAsia="Times New Roman" w:cstheme="minorHAnsi"/>
          <w:lang w:val="en-US"/>
        </w:rPr>
        <w:t xml:space="preserve"> Web</w:t>
      </w:r>
      <w:r w:rsidRPr="007146C1">
        <w:rPr>
          <w:rFonts w:eastAsia="Times New Roman" w:cstheme="minorHAnsi"/>
          <w:lang w:val="en-US"/>
        </w:rPr>
        <w:t xml:space="preserve">) login details will be shared between the patient and the individual with proxy access. </w:t>
      </w:r>
    </w:p>
    <w:p w14:paraId="5CEB8AC1" w14:textId="77777777" w:rsidR="00566B52" w:rsidRPr="007146C1" w:rsidRDefault="00566B52" w:rsidP="007146C1">
      <w:pPr>
        <w:widowControl w:val="0"/>
        <w:autoSpaceDE w:val="0"/>
        <w:autoSpaceDN w:val="0"/>
        <w:adjustRightInd w:val="0"/>
        <w:spacing w:after="120" w:line="240" w:lineRule="auto"/>
        <w:ind w:left="284"/>
        <w:rPr>
          <w:rFonts w:eastAsia="Arial" w:cstheme="minorHAnsi"/>
          <w:color w:val="000000"/>
          <w:spacing w:val="-2"/>
        </w:rPr>
      </w:pPr>
      <w:r w:rsidRPr="007146C1">
        <w:rPr>
          <w:rFonts w:eastAsia="Arial" w:cstheme="minorHAnsi"/>
          <w:color w:val="000000"/>
          <w:spacing w:val="-2"/>
        </w:rPr>
        <w:t xml:space="preserve"> Proxy access should not be granted where:</w:t>
      </w:r>
    </w:p>
    <w:p w14:paraId="5CEB8AC2" w14:textId="77777777" w:rsidR="00E741E5" w:rsidRPr="007146C1" w:rsidRDefault="00E741E5" w:rsidP="007146C1">
      <w:pPr>
        <w:widowControl w:val="0"/>
        <w:numPr>
          <w:ilvl w:val="0"/>
          <w:numId w:val="22"/>
        </w:numPr>
        <w:autoSpaceDE w:val="0"/>
        <w:autoSpaceDN w:val="0"/>
        <w:adjustRightInd w:val="0"/>
        <w:spacing w:after="0" w:line="240" w:lineRule="auto"/>
        <w:ind w:left="709" w:hanging="357"/>
        <w:rPr>
          <w:rFonts w:eastAsia="Times New Roman" w:cstheme="minorHAnsi"/>
          <w:lang w:val="en-US"/>
        </w:rPr>
      </w:pPr>
      <w:r w:rsidRPr="007146C1">
        <w:rPr>
          <w:rFonts w:eastAsia="Times New Roman" w:cstheme="minorHAnsi"/>
          <w:lang w:val="en-US"/>
        </w:rPr>
        <w:t>There is a risk to the security of the patient’s record by the person being considered for proxy access</w:t>
      </w:r>
    </w:p>
    <w:p w14:paraId="5CEB8AC3" w14:textId="0B6E8755" w:rsidR="00E741E5" w:rsidRPr="007146C1" w:rsidRDefault="00E741E5" w:rsidP="007146C1">
      <w:pPr>
        <w:widowControl w:val="0"/>
        <w:numPr>
          <w:ilvl w:val="0"/>
          <w:numId w:val="22"/>
        </w:numPr>
        <w:autoSpaceDE w:val="0"/>
        <w:autoSpaceDN w:val="0"/>
        <w:adjustRightInd w:val="0"/>
        <w:spacing w:after="0" w:line="240" w:lineRule="auto"/>
        <w:ind w:left="709" w:hanging="357"/>
        <w:rPr>
          <w:rFonts w:eastAsia="Times New Roman" w:cstheme="minorHAnsi"/>
          <w:lang w:val="en-US"/>
        </w:rPr>
      </w:pPr>
      <w:r w:rsidRPr="007146C1">
        <w:rPr>
          <w:rFonts w:eastAsia="Times New Roman" w:cstheme="minorHAnsi"/>
          <w:lang w:val="en-US"/>
        </w:rPr>
        <w:t xml:space="preserve">The </w:t>
      </w:r>
      <w:r w:rsidR="005177B0" w:rsidRPr="007146C1">
        <w:rPr>
          <w:rFonts w:eastAsia="Times New Roman" w:cstheme="minorHAnsi"/>
          <w:lang w:val="en-US"/>
        </w:rPr>
        <w:t>company</w:t>
      </w:r>
      <w:r w:rsidRPr="007146C1">
        <w:rPr>
          <w:rFonts w:eastAsia="Times New Roman" w:cstheme="minorHAnsi"/>
          <w:lang w:val="en-US"/>
        </w:rPr>
        <w:t xml:space="preserve"> suspects Coercive behavior </w:t>
      </w:r>
    </w:p>
    <w:p w14:paraId="5CEB8AC4" w14:textId="77777777" w:rsidR="00566B52" w:rsidRPr="007146C1" w:rsidRDefault="00566B52" w:rsidP="007146C1">
      <w:pPr>
        <w:pStyle w:val="ListParagraph"/>
        <w:widowControl w:val="0"/>
        <w:numPr>
          <w:ilvl w:val="0"/>
          <w:numId w:val="22"/>
        </w:numPr>
        <w:autoSpaceDE w:val="0"/>
        <w:autoSpaceDN w:val="0"/>
        <w:adjustRightInd w:val="0"/>
        <w:spacing w:after="0" w:line="240" w:lineRule="auto"/>
        <w:ind w:left="709" w:hanging="357"/>
        <w:rPr>
          <w:rFonts w:eastAsia="Arial" w:cstheme="minorHAnsi"/>
          <w:color w:val="000000"/>
          <w:spacing w:val="-2"/>
        </w:rPr>
      </w:pPr>
      <w:r w:rsidRPr="007146C1">
        <w:rPr>
          <w:rFonts w:eastAsia="Times New Roman" w:cstheme="minorHAnsi"/>
          <w:lang w:val="en-US"/>
        </w:rPr>
        <w:t>The patient has previously expressed the wish not to grant proxy access to specific individuals should they lose capacity, either permanently or temporarily; this should be recorded in the patient’s record</w:t>
      </w:r>
    </w:p>
    <w:p w14:paraId="5CEB8AC5" w14:textId="77777777" w:rsidR="00566B52" w:rsidRPr="007146C1" w:rsidRDefault="00566B52" w:rsidP="00EA79A4">
      <w:pPr>
        <w:widowControl w:val="0"/>
        <w:numPr>
          <w:ilvl w:val="0"/>
          <w:numId w:val="9"/>
        </w:numPr>
        <w:tabs>
          <w:tab w:val="left" w:pos="220"/>
          <w:tab w:val="left" w:pos="720"/>
        </w:tabs>
        <w:autoSpaceDE w:val="0"/>
        <w:autoSpaceDN w:val="0"/>
        <w:adjustRightInd w:val="0"/>
        <w:spacing w:after="293" w:line="240" w:lineRule="auto"/>
        <w:ind w:left="709"/>
        <w:rPr>
          <w:rFonts w:eastAsia="Times New Roman" w:cstheme="minorHAnsi"/>
          <w:lang w:val="en-US"/>
        </w:rPr>
      </w:pPr>
      <w:r w:rsidRPr="007146C1">
        <w:rPr>
          <w:rFonts w:eastAsia="Times New Roman" w:cstheme="minorHAnsi"/>
          <w:lang w:val="en-US"/>
        </w:rPr>
        <w:t xml:space="preserve">The </w:t>
      </w:r>
      <w:r w:rsidR="0055416C" w:rsidRPr="007146C1">
        <w:rPr>
          <w:rFonts w:eastAsia="Times New Roman" w:cstheme="minorHAnsi"/>
          <w:lang w:val="en-US"/>
        </w:rPr>
        <w:t>Clinical Lead</w:t>
      </w:r>
      <w:r w:rsidRPr="007146C1">
        <w:rPr>
          <w:rFonts w:eastAsia="Times New Roman" w:cstheme="minorHAnsi"/>
          <w:lang w:val="en-US"/>
        </w:rPr>
        <w:t xml:space="preserve"> assesses that it is not in the best interests of the patient and/or that there are reasons as detailed in Denial or Limitation of Information </w:t>
      </w:r>
    </w:p>
    <w:p w14:paraId="5CEB8AC6" w14:textId="77777777" w:rsidR="00566B52" w:rsidRPr="00913B09" w:rsidRDefault="00566B52" w:rsidP="002B108B">
      <w:pPr>
        <w:pStyle w:val="Style3"/>
      </w:pPr>
      <w:r w:rsidRPr="00913B09">
        <w:t xml:space="preserve"> Proxy Access in Adults (including those over 13 years of age) with capacity</w:t>
      </w:r>
    </w:p>
    <w:p w14:paraId="5CEB8AC9" w14:textId="007673C3" w:rsidR="00566B52" w:rsidRPr="007146C1" w:rsidRDefault="00566B52" w:rsidP="007146C1">
      <w:pPr>
        <w:spacing w:after="120" w:line="240" w:lineRule="auto"/>
        <w:ind w:left="284"/>
        <w:rPr>
          <w:rFonts w:eastAsia="Arial" w:cstheme="minorHAnsi"/>
          <w:color w:val="000000"/>
          <w:spacing w:val="-2"/>
        </w:rPr>
      </w:pPr>
      <w:r w:rsidRPr="007146C1">
        <w:rPr>
          <w:rFonts w:eastAsia="Arial" w:cstheme="minorHAnsi"/>
          <w:color w:val="000000"/>
          <w:spacing w:val="-2"/>
        </w:rPr>
        <w:t xml:space="preserve">Patients over the age 13 (under UK DPA 2018) are assumed to have mental capacity to consent to proxy access. </w:t>
      </w:r>
      <w:r w:rsidR="00EA79A4" w:rsidRPr="007146C1">
        <w:rPr>
          <w:rFonts w:eastAsia="Arial" w:cstheme="minorHAnsi"/>
          <w:color w:val="000000"/>
          <w:spacing w:val="-2"/>
        </w:rPr>
        <w:t xml:space="preserve"> </w:t>
      </w:r>
      <w:r w:rsidRPr="007146C1">
        <w:rPr>
          <w:rFonts w:eastAsia="Arial" w:cstheme="minorHAnsi"/>
          <w:color w:val="000000"/>
          <w:spacing w:val="-2"/>
        </w:rPr>
        <w:t>Where a patient with capacity gives their consent, the application should be dealt with on the same basis as the patient.</w:t>
      </w:r>
    </w:p>
    <w:p w14:paraId="5CEB8ACC" w14:textId="77777777" w:rsidR="00566B52" w:rsidRPr="00913B09" w:rsidRDefault="00566B52" w:rsidP="002B108B">
      <w:pPr>
        <w:pStyle w:val="Style3"/>
        <w:rPr>
          <w:lang w:val="en-US"/>
        </w:rPr>
      </w:pPr>
      <w:r w:rsidRPr="00913B09">
        <w:rPr>
          <w:lang w:val="en-US"/>
        </w:rPr>
        <w:t xml:space="preserve"> Proxy Access in Adults (including those over 13 years of age) without capacity</w:t>
      </w:r>
    </w:p>
    <w:p w14:paraId="5CEB8ACE" w14:textId="77777777" w:rsidR="00566B52" w:rsidRPr="007146C1" w:rsidRDefault="00566B52" w:rsidP="007146C1">
      <w:pPr>
        <w:widowControl w:val="0"/>
        <w:tabs>
          <w:tab w:val="left" w:pos="220"/>
          <w:tab w:val="left" w:pos="720"/>
        </w:tabs>
        <w:autoSpaceDE w:val="0"/>
        <w:autoSpaceDN w:val="0"/>
        <w:adjustRightInd w:val="0"/>
        <w:spacing w:after="120" w:line="240" w:lineRule="auto"/>
        <w:ind w:left="221"/>
        <w:jc w:val="both"/>
        <w:rPr>
          <w:rFonts w:eastAsia="Times New Roman" w:cstheme="minorHAnsi"/>
          <w:lang w:val="en-US"/>
        </w:rPr>
      </w:pPr>
      <w:r w:rsidRPr="007146C1">
        <w:rPr>
          <w:rFonts w:eastAsia="Times New Roman" w:cstheme="minorHAnsi"/>
          <w:lang w:val="en-US"/>
        </w:rPr>
        <w:t>Nursing/</w:t>
      </w:r>
      <w:r w:rsidR="00EA79A4" w:rsidRPr="007146C1">
        <w:rPr>
          <w:rFonts w:eastAsia="Times New Roman" w:cstheme="minorHAnsi"/>
          <w:lang w:val="en-US"/>
        </w:rPr>
        <w:t>r</w:t>
      </w:r>
      <w:r w:rsidRPr="007146C1">
        <w:rPr>
          <w:rFonts w:eastAsia="Times New Roman" w:cstheme="minorHAnsi"/>
          <w:lang w:val="en-US"/>
        </w:rPr>
        <w:t>esidential homes will not be granted proxy access for patients under their care.</w:t>
      </w:r>
    </w:p>
    <w:p w14:paraId="5CEB8ACF" w14:textId="77777777" w:rsidR="00566B52" w:rsidRPr="007146C1" w:rsidRDefault="00566B52" w:rsidP="007146C1">
      <w:pPr>
        <w:widowControl w:val="0"/>
        <w:tabs>
          <w:tab w:val="left" w:pos="220"/>
          <w:tab w:val="left" w:pos="720"/>
        </w:tabs>
        <w:autoSpaceDE w:val="0"/>
        <w:autoSpaceDN w:val="0"/>
        <w:adjustRightInd w:val="0"/>
        <w:spacing w:after="120" w:line="240" w:lineRule="auto"/>
        <w:ind w:left="221"/>
        <w:jc w:val="both"/>
        <w:rPr>
          <w:rFonts w:eastAsia="Times New Roman" w:cstheme="minorHAnsi"/>
          <w:lang w:val="en-US"/>
        </w:rPr>
      </w:pPr>
      <w:r w:rsidRPr="007146C1">
        <w:rPr>
          <w:rFonts w:eastAsia="Times New Roman" w:cstheme="minorHAnsi"/>
          <w:lang w:val="en-US"/>
        </w:rPr>
        <w:t xml:space="preserve">Proxy </w:t>
      </w:r>
      <w:r w:rsidR="00EA79A4" w:rsidRPr="007146C1">
        <w:rPr>
          <w:rFonts w:eastAsia="Times New Roman" w:cstheme="minorHAnsi"/>
          <w:lang w:val="en-US"/>
        </w:rPr>
        <w:t>a</w:t>
      </w:r>
      <w:r w:rsidRPr="007146C1">
        <w:rPr>
          <w:rFonts w:eastAsia="Times New Roman" w:cstheme="minorHAnsi"/>
          <w:lang w:val="en-US"/>
        </w:rPr>
        <w:t>ccess without the consent of the patient may be granted in the following circumstances:</w:t>
      </w:r>
    </w:p>
    <w:p w14:paraId="5CEB8AD0" w14:textId="6FF612D1" w:rsidR="00566B52" w:rsidRPr="007146C1" w:rsidRDefault="00566B52" w:rsidP="007146C1">
      <w:pPr>
        <w:widowControl w:val="0"/>
        <w:tabs>
          <w:tab w:val="left" w:pos="220"/>
          <w:tab w:val="left" w:pos="720"/>
        </w:tabs>
        <w:autoSpaceDE w:val="0"/>
        <w:autoSpaceDN w:val="0"/>
        <w:adjustRightInd w:val="0"/>
        <w:spacing w:after="120" w:line="240" w:lineRule="auto"/>
        <w:ind w:left="221"/>
        <w:jc w:val="both"/>
        <w:rPr>
          <w:rFonts w:eastAsia="Times New Roman" w:cstheme="minorHAnsi"/>
          <w:lang w:val="en-US"/>
        </w:rPr>
      </w:pPr>
      <w:r w:rsidRPr="007146C1">
        <w:rPr>
          <w:rFonts w:eastAsia="Times New Roman" w:cstheme="minorHAnsi"/>
          <w:lang w:val="en-US"/>
        </w:rPr>
        <w:t>The patient has been assessed as lacking capacity to make a decision on granting proxy access and has registered the applicant as a lasting power of attorney for health and welfare with the Office of the Public Guardian.</w:t>
      </w:r>
    </w:p>
    <w:p w14:paraId="3625ACD0" w14:textId="77777777" w:rsidR="00E06161" w:rsidRDefault="00E06161" w:rsidP="007146C1">
      <w:pPr>
        <w:widowControl w:val="0"/>
        <w:tabs>
          <w:tab w:val="left" w:pos="220"/>
          <w:tab w:val="left" w:pos="720"/>
        </w:tabs>
        <w:autoSpaceDE w:val="0"/>
        <w:autoSpaceDN w:val="0"/>
        <w:adjustRightInd w:val="0"/>
        <w:spacing w:after="120" w:line="240" w:lineRule="auto"/>
        <w:ind w:left="221"/>
        <w:jc w:val="both"/>
        <w:rPr>
          <w:rFonts w:eastAsia="Times New Roman" w:cstheme="minorHAnsi"/>
          <w:lang w:val="en-US"/>
        </w:rPr>
      </w:pPr>
    </w:p>
    <w:p w14:paraId="5CEB8AD1" w14:textId="23A6194F" w:rsidR="00566B52" w:rsidRPr="007146C1" w:rsidRDefault="00566B52" w:rsidP="007146C1">
      <w:pPr>
        <w:widowControl w:val="0"/>
        <w:tabs>
          <w:tab w:val="left" w:pos="220"/>
          <w:tab w:val="left" w:pos="720"/>
        </w:tabs>
        <w:autoSpaceDE w:val="0"/>
        <w:autoSpaceDN w:val="0"/>
        <w:adjustRightInd w:val="0"/>
        <w:spacing w:after="120" w:line="240" w:lineRule="auto"/>
        <w:ind w:left="221"/>
        <w:jc w:val="both"/>
        <w:rPr>
          <w:rFonts w:eastAsia="Times New Roman" w:cstheme="minorHAnsi"/>
          <w:lang w:val="en-US"/>
        </w:rPr>
      </w:pPr>
      <w:r w:rsidRPr="007146C1">
        <w:rPr>
          <w:rFonts w:eastAsia="Times New Roman" w:cstheme="minorHAnsi"/>
          <w:lang w:val="en-US"/>
        </w:rPr>
        <w:lastRenderedPageBreak/>
        <w:t>The patient has been assessed as lacking capacity to make a decision on granting proxy access, and the applicant is acting as a Court Appointed Deputy on behalf of the patient</w:t>
      </w:r>
    </w:p>
    <w:p w14:paraId="5CEB8AD2" w14:textId="06FDBD23" w:rsidR="00566B52" w:rsidRPr="007146C1" w:rsidRDefault="00566B52" w:rsidP="007146C1">
      <w:pPr>
        <w:widowControl w:val="0"/>
        <w:tabs>
          <w:tab w:val="left" w:pos="220"/>
          <w:tab w:val="left" w:pos="720"/>
        </w:tabs>
        <w:autoSpaceDE w:val="0"/>
        <w:autoSpaceDN w:val="0"/>
        <w:adjustRightInd w:val="0"/>
        <w:spacing w:after="120" w:line="240" w:lineRule="auto"/>
        <w:ind w:left="221"/>
        <w:jc w:val="both"/>
        <w:rPr>
          <w:rFonts w:eastAsia="Times New Roman" w:cstheme="minorHAnsi"/>
          <w:lang w:val="en-US"/>
        </w:rPr>
      </w:pPr>
      <w:r w:rsidRPr="007146C1">
        <w:rPr>
          <w:rFonts w:eastAsia="Times New Roman" w:cstheme="minorHAnsi"/>
          <w:lang w:val="en-US"/>
        </w:rPr>
        <w:t xml:space="preserve">The patient has been assessed as lacking capacity to make a decision on granting proxy access, and in accordance with the Mental Capacity Act 2005 code of </w:t>
      </w:r>
      <w:r w:rsidR="005177B0" w:rsidRPr="007146C1">
        <w:rPr>
          <w:rFonts w:eastAsia="Times New Roman" w:cstheme="minorHAnsi"/>
          <w:lang w:val="en-US"/>
        </w:rPr>
        <w:t>company</w:t>
      </w:r>
      <w:r w:rsidRPr="007146C1">
        <w:rPr>
          <w:rFonts w:eastAsia="Times New Roman" w:cstheme="minorHAnsi"/>
          <w:lang w:val="en-US"/>
        </w:rPr>
        <w:t xml:space="preserve">, the </w:t>
      </w:r>
      <w:r w:rsidR="0055416C" w:rsidRPr="007146C1">
        <w:rPr>
          <w:rFonts w:eastAsia="Times New Roman" w:cstheme="minorHAnsi"/>
          <w:lang w:val="en-US"/>
        </w:rPr>
        <w:t>Clinical Lead</w:t>
      </w:r>
      <w:r w:rsidRPr="007146C1">
        <w:rPr>
          <w:rFonts w:eastAsia="Times New Roman" w:cstheme="minorHAnsi"/>
          <w:lang w:val="en-US"/>
        </w:rPr>
        <w:t xml:space="preserve"> considers it in the patient’s best interests to grant access to the applicant. </w:t>
      </w:r>
    </w:p>
    <w:p w14:paraId="5CEB8AD3" w14:textId="77777777" w:rsidR="00566B52" w:rsidRPr="007146C1" w:rsidRDefault="00566B52" w:rsidP="007146C1">
      <w:pPr>
        <w:widowControl w:val="0"/>
        <w:tabs>
          <w:tab w:val="left" w:pos="220"/>
          <w:tab w:val="left" w:pos="720"/>
        </w:tabs>
        <w:autoSpaceDE w:val="0"/>
        <w:autoSpaceDN w:val="0"/>
        <w:adjustRightInd w:val="0"/>
        <w:spacing w:after="293" w:line="240" w:lineRule="auto"/>
        <w:ind w:left="220"/>
        <w:jc w:val="both"/>
        <w:rPr>
          <w:rFonts w:eastAsia="Times New Roman" w:cstheme="minorHAnsi"/>
          <w:lang w:val="en-US"/>
        </w:rPr>
      </w:pPr>
      <w:r w:rsidRPr="007146C1">
        <w:rPr>
          <w:rFonts w:eastAsia="Times New Roman" w:cstheme="minorHAnsi"/>
          <w:lang w:val="en-US"/>
        </w:rPr>
        <w:t xml:space="preserve">When an adult patient has been assessed as lacking capacity and access is to be granted to a proxy acting in their best interests, it is the responsibility of the </w:t>
      </w:r>
      <w:r w:rsidR="0055416C" w:rsidRPr="007146C1">
        <w:rPr>
          <w:rFonts w:eastAsia="Times New Roman" w:cstheme="minorHAnsi"/>
          <w:lang w:val="en-US"/>
        </w:rPr>
        <w:t>Clinical Lead</w:t>
      </w:r>
      <w:r w:rsidRPr="007146C1">
        <w:rPr>
          <w:rFonts w:eastAsia="Times New Roman" w:cstheme="minorHAnsi"/>
          <w:lang w:val="en-US"/>
        </w:rPr>
        <w:t xml:space="preserve"> to ensure that the level of access </w:t>
      </w:r>
      <w:r w:rsidR="00481329" w:rsidRPr="007146C1">
        <w:rPr>
          <w:rFonts w:eastAsia="Times New Roman" w:cstheme="minorHAnsi"/>
          <w:lang w:val="en-US"/>
        </w:rPr>
        <w:t>enabled,</w:t>
      </w:r>
      <w:r w:rsidRPr="007146C1">
        <w:rPr>
          <w:rFonts w:eastAsia="Times New Roman" w:cstheme="minorHAnsi"/>
          <w:lang w:val="en-US"/>
        </w:rPr>
        <w:t xml:space="preserve"> or information provided is necessary for the performance of the applicant’s duties.</w:t>
      </w:r>
    </w:p>
    <w:p w14:paraId="5CEB8AD4" w14:textId="77777777" w:rsidR="00566B52" w:rsidRPr="00913B09" w:rsidRDefault="00566B52" w:rsidP="002B108B">
      <w:pPr>
        <w:pStyle w:val="Style3"/>
        <w:rPr>
          <w:lang w:val="en-US"/>
        </w:rPr>
      </w:pPr>
      <w:r w:rsidRPr="00913B09">
        <w:rPr>
          <w:lang w:val="en-US"/>
        </w:rPr>
        <w:t xml:space="preserve"> Proxy Access in Children under the age of 11</w:t>
      </w:r>
    </w:p>
    <w:p w14:paraId="5CEB8AD5" w14:textId="77777777" w:rsidR="00566B52" w:rsidRPr="007146C1" w:rsidRDefault="00566B52" w:rsidP="007146C1">
      <w:pPr>
        <w:widowControl w:val="0"/>
        <w:autoSpaceDE w:val="0"/>
        <w:autoSpaceDN w:val="0"/>
        <w:adjustRightInd w:val="0"/>
        <w:spacing w:after="120" w:line="240" w:lineRule="auto"/>
        <w:ind w:left="284"/>
        <w:jc w:val="both"/>
        <w:rPr>
          <w:rFonts w:eastAsia="Times New Roman" w:cstheme="minorHAnsi"/>
          <w:lang w:val="en-US"/>
        </w:rPr>
      </w:pPr>
      <w:r w:rsidRPr="007146C1">
        <w:rPr>
          <w:rFonts w:eastAsia="Times New Roman" w:cstheme="minorHAnsi"/>
          <w:lang w:val="en-US"/>
        </w:rPr>
        <w:t xml:space="preserve">All children under the age of 11 are assumed to lack capacity to consent to proxy access. Those with parental responsibility for the child can apply for proxy access to their children’s medical records. </w:t>
      </w:r>
    </w:p>
    <w:p w14:paraId="5CEB8AD6" w14:textId="77777777" w:rsidR="00566B52" w:rsidRPr="007146C1" w:rsidRDefault="00566B52" w:rsidP="007146C1">
      <w:pPr>
        <w:widowControl w:val="0"/>
        <w:autoSpaceDE w:val="0"/>
        <w:autoSpaceDN w:val="0"/>
        <w:adjustRightInd w:val="0"/>
        <w:spacing w:after="120" w:line="240" w:lineRule="auto"/>
        <w:ind w:left="284"/>
        <w:jc w:val="both"/>
        <w:rPr>
          <w:rFonts w:eastAsia="Times New Roman" w:cstheme="minorHAnsi"/>
          <w:lang w:val="en-US"/>
        </w:rPr>
      </w:pPr>
      <w:r w:rsidRPr="007146C1">
        <w:rPr>
          <w:rFonts w:eastAsia="Times New Roman" w:cstheme="minorHAnsi"/>
          <w:lang w:val="en-US"/>
        </w:rPr>
        <w:t xml:space="preserve">Parents will apply for access through the same process outlined in Sections 4 and 5. Additional identification of </w:t>
      </w:r>
      <w:r w:rsidR="00EA79A4" w:rsidRPr="007146C1">
        <w:rPr>
          <w:rFonts w:eastAsia="Times New Roman" w:cstheme="minorHAnsi"/>
          <w:lang w:val="en-US"/>
        </w:rPr>
        <w:t>p</w:t>
      </w:r>
      <w:r w:rsidRPr="007146C1">
        <w:rPr>
          <w:rFonts w:eastAsia="Times New Roman" w:cstheme="minorHAnsi"/>
          <w:lang w:val="en-US"/>
        </w:rPr>
        <w:t>arental /</w:t>
      </w:r>
      <w:r w:rsidR="00EA79A4" w:rsidRPr="007146C1">
        <w:rPr>
          <w:rFonts w:eastAsia="Times New Roman" w:cstheme="minorHAnsi"/>
          <w:lang w:val="en-US"/>
        </w:rPr>
        <w:t>g</w:t>
      </w:r>
      <w:r w:rsidRPr="007146C1">
        <w:rPr>
          <w:rFonts w:eastAsia="Times New Roman" w:cstheme="minorHAnsi"/>
          <w:lang w:val="en-US"/>
        </w:rPr>
        <w:t>uardian evidence will be required (</w:t>
      </w:r>
      <w:r w:rsidR="00EA79A4" w:rsidRPr="007146C1">
        <w:rPr>
          <w:rFonts w:eastAsia="Times New Roman" w:cstheme="minorHAnsi"/>
          <w:lang w:val="en-US"/>
        </w:rPr>
        <w:t>s</w:t>
      </w:r>
      <w:r w:rsidRPr="007146C1">
        <w:rPr>
          <w:rFonts w:eastAsia="Times New Roman" w:cstheme="minorHAnsi"/>
          <w:lang w:val="en-US"/>
        </w:rPr>
        <w:t xml:space="preserve">ee Section 6) </w:t>
      </w:r>
    </w:p>
    <w:p w14:paraId="5CEB8AD7" w14:textId="77777777" w:rsidR="00566B52" w:rsidRPr="00913B09" w:rsidRDefault="00566B52" w:rsidP="002B108B">
      <w:pPr>
        <w:pStyle w:val="Style3"/>
        <w:rPr>
          <w:lang w:val="en-US"/>
        </w:rPr>
      </w:pPr>
      <w:r w:rsidRPr="00913B09">
        <w:rPr>
          <w:lang w:val="en-US"/>
        </w:rPr>
        <w:t>Proxy Access in Children above the age of 11 and under 13 years of age</w:t>
      </w:r>
    </w:p>
    <w:p w14:paraId="5CEB8AD8" w14:textId="77777777" w:rsidR="00566B52" w:rsidRPr="00913B09" w:rsidRDefault="00566B52" w:rsidP="0006289D">
      <w:pPr>
        <w:widowControl w:val="0"/>
        <w:autoSpaceDE w:val="0"/>
        <w:autoSpaceDN w:val="0"/>
        <w:adjustRightInd w:val="0"/>
        <w:spacing w:after="120" w:line="240" w:lineRule="auto"/>
        <w:ind w:left="284"/>
        <w:jc w:val="both"/>
        <w:rPr>
          <w:rFonts w:eastAsia="Arial" w:cstheme="minorHAnsi"/>
          <w:spacing w:val="-2"/>
          <w:sz w:val="24"/>
          <w:szCs w:val="24"/>
        </w:rPr>
      </w:pPr>
      <w:r w:rsidRPr="00913B09">
        <w:rPr>
          <w:rFonts w:eastAsia="Times New Roman" w:cstheme="minorHAnsi"/>
          <w:sz w:val="24"/>
          <w:szCs w:val="24"/>
          <w:lang w:val="en-US"/>
        </w:rPr>
        <w:t xml:space="preserve">Access to medical records will need to be assessed on a case by case basis. </w:t>
      </w:r>
      <w:r w:rsidR="00EA79A4" w:rsidRPr="00913B09">
        <w:rPr>
          <w:rFonts w:eastAsia="Times New Roman" w:cstheme="minorHAnsi"/>
          <w:sz w:val="24"/>
          <w:szCs w:val="24"/>
          <w:lang w:val="en-US"/>
        </w:rPr>
        <w:t xml:space="preserve"> </w:t>
      </w:r>
      <w:r w:rsidRPr="00913B09">
        <w:rPr>
          <w:rFonts w:eastAsia="Arial" w:cstheme="minorHAnsi"/>
          <w:spacing w:val="-2"/>
          <w:sz w:val="24"/>
          <w:szCs w:val="24"/>
        </w:rPr>
        <w:t xml:space="preserve">Some children aged 11 to 13 have the capacity and understanding required for decision-making with regards to access to their medical records and should therefore be consulted and have their confidence respected </w:t>
      </w:r>
    </w:p>
    <w:p w14:paraId="5CEB8ADB" w14:textId="77777777" w:rsidR="00566B52" w:rsidRPr="00913B09" w:rsidRDefault="00566B52" w:rsidP="0006289D">
      <w:pPr>
        <w:widowControl w:val="0"/>
        <w:autoSpaceDE w:val="0"/>
        <w:autoSpaceDN w:val="0"/>
        <w:adjustRightInd w:val="0"/>
        <w:spacing w:after="120" w:line="240" w:lineRule="auto"/>
        <w:ind w:left="284"/>
        <w:jc w:val="both"/>
        <w:rPr>
          <w:rFonts w:eastAsia="Arial" w:cstheme="minorHAnsi"/>
          <w:spacing w:val="-2"/>
          <w:sz w:val="24"/>
          <w:szCs w:val="24"/>
        </w:rPr>
      </w:pPr>
      <w:r w:rsidRPr="00913B09">
        <w:rPr>
          <w:rFonts w:eastAsia="Arial" w:cstheme="minorHAnsi"/>
          <w:spacing w:val="-2"/>
          <w:sz w:val="24"/>
          <w:szCs w:val="24"/>
        </w:rPr>
        <w:t xml:space="preserve">The </w:t>
      </w:r>
      <w:r w:rsidR="0055416C" w:rsidRPr="00913B09">
        <w:rPr>
          <w:rFonts w:eastAsia="Arial" w:cstheme="minorHAnsi"/>
          <w:spacing w:val="-2"/>
          <w:sz w:val="24"/>
          <w:szCs w:val="24"/>
        </w:rPr>
        <w:t>Clinical Lead</w:t>
      </w:r>
      <w:r w:rsidRPr="00913B09">
        <w:rPr>
          <w:rFonts w:eastAsia="Arial" w:cstheme="minorHAnsi"/>
          <w:spacing w:val="-2"/>
          <w:sz w:val="24"/>
          <w:szCs w:val="24"/>
        </w:rPr>
        <w:t xml:space="preserve"> should use their professional judgement in deciding whether to grant parental access and/or whether to withhold information</w:t>
      </w:r>
    </w:p>
    <w:p w14:paraId="5CEB8ADC" w14:textId="7235B6B7" w:rsidR="00566B52" w:rsidRPr="00913B09" w:rsidRDefault="00566B52" w:rsidP="0006289D">
      <w:pPr>
        <w:widowControl w:val="0"/>
        <w:tabs>
          <w:tab w:val="left" w:pos="220"/>
          <w:tab w:val="left" w:pos="720"/>
        </w:tabs>
        <w:autoSpaceDE w:val="0"/>
        <w:autoSpaceDN w:val="0"/>
        <w:adjustRightInd w:val="0"/>
        <w:spacing w:after="120" w:line="240" w:lineRule="auto"/>
        <w:ind w:left="284"/>
        <w:jc w:val="both"/>
        <w:rPr>
          <w:rFonts w:eastAsia="Times New Roman" w:cstheme="minorHAnsi"/>
          <w:sz w:val="24"/>
          <w:szCs w:val="24"/>
          <w:lang w:val="en-US"/>
        </w:rPr>
      </w:pPr>
      <w:r w:rsidRPr="00913B09">
        <w:rPr>
          <w:rFonts w:eastAsia="Times New Roman" w:cstheme="minorHAnsi"/>
          <w:sz w:val="24"/>
          <w:szCs w:val="24"/>
        </w:rPr>
        <w:t xml:space="preserve">If the </w:t>
      </w:r>
      <w:r w:rsidR="005177B0">
        <w:rPr>
          <w:rFonts w:eastAsia="Times New Roman" w:cstheme="minorHAnsi"/>
          <w:sz w:val="24"/>
          <w:szCs w:val="24"/>
        </w:rPr>
        <w:t>company</w:t>
      </w:r>
      <w:r w:rsidRPr="00913B09">
        <w:rPr>
          <w:rFonts w:eastAsia="Times New Roman" w:cstheme="minorHAnsi"/>
          <w:sz w:val="24"/>
          <w:szCs w:val="24"/>
        </w:rPr>
        <w:t xml:space="preserve"> suspects coercive behaviour access will be refused and documented in the medical notes. </w:t>
      </w:r>
      <w:r w:rsidR="00ED1032" w:rsidRPr="00913B09">
        <w:rPr>
          <w:rFonts w:eastAsia="Times New Roman" w:cstheme="minorHAnsi"/>
          <w:sz w:val="24"/>
          <w:szCs w:val="24"/>
        </w:rPr>
        <w:t xml:space="preserve"> </w:t>
      </w:r>
      <w:r w:rsidRPr="00913B09">
        <w:rPr>
          <w:rFonts w:eastAsia="Times New Roman" w:cstheme="minorHAnsi"/>
          <w:sz w:val="24"/>
          <w:szCs w:val="24"/>
        </w:rPr>
        <w:t xml:space="preserve">The </w:t>
      </w:r>
      <w:r w:rsidR="0055416C" w:rsidRPr="00913B09">
        <w:rPr>
          <w:rFonts w:eastAsia="Times New Roman" w:cstheme="minorHAnsi"/>
          <w:sz w:val="24"/>
          <w:szCs w:val="24"/>
        </w:rPr>
        <w:t>Clinical Lead</w:t>
      </w:r>
      <w:r w:rsidRPr="00913B09">
        <w:rPr>
          <w:rFonts w:eastAsia="Times New Roman" w:cstheme="minorHAnsi"/>
          <w:sz w:val="24"/>
          <w:szCs w:val="24"/>
        </w:rPr>
        <w:t xml:space="preserve"> will liaise with Child Safeguarding teams if appropriate </w:t>
      </w:r>
    </w:p>
    <w:p w14:paraId="5CEB8ADD" w14:textId="77777777" w:rsidR="00566B52" w:rsidRPr="00913B09" w:rsidRDefault="00566B52" w:rsidP="0006289D">
      <w:pPr>
        <w:widowControl w:val="0"/>
        <w:autoSpaceDE w:val="0"/>
        <w:autoSpaceDN w:val="0"/>
        <w:adjustRightInd w:val="0"/>
        <w:spacing w:after="120" w:line="240" w:lineRule="auto"/>
        <w:ind w:left="284"/>
        <w:jc w:val="both"/>
        <w:rPr>
          <w:rFonts w:eastAsia="Arial" w:cstheme="minorHAnsi"/>
          <w:spacing w:val="-2"/>
          <w:sz w:val="24"/>
          <w:szCs w:val="24"/>
        </w:rPr>
      </w:pPr>
      <w:r w:rsidRPr="00913B09">
        <w:rPr>
          <w:rFonts w:eastAsia="Arial" w:cstheme="minorHAnsi"/>
          <w:spacing w:val="-2"/>
          <w:sz w:val="24"/>
          <w:szCs w:val="24"/>
        </w:rPr>
        <w:t>Online proxy access will also be turned off when a child turns 13. Access can be turned back on by following the processes set out above governing access to adults</w:t>
      </w:r>
    </w:p>
    <w:p w14:paraId="5CEB8ADF" w14:textId="77777777" w:rsidR="00566B52" w:rsidRPr="00913B09" w:rsidRDefault="00566B52" w:rsidP="002B108B">
      <w:pPr>
        <w:pStyle w:val="Style3"/>
        <w:rPr>
          <w:lang w:val="en-US"/>
        </w:rPr>
      </w:pPr>
      <w:r w:rsidRPr="00913B09">
        <w:rPr>
          <w:lang w:val="en-US"/>
        </w:rPr>
        <w:t xml:space="preserve">Coercion </w:t>
      </w:r>
    </w:p>
    <w:p w14:paraId="5CEB8AE0" w14:textId="77777777" w:rsidR="00566B52" w:rsidRPr="004442A4" w:rsidRDefault="00566B52" w:rsidP="004442A4">
      <w:pPr>
        <w:widowControl w:val="0"/>
        <w:autoSpaceDE w:val="0"/>
        <w:autoSpaceDN w:val="0"/>
        <w:adjustRightInd w:val="0"/>
        <w:spacing w:after="120" w:line="240" w:lineRule="auto"/>
        <w:ind w:left="284"/>
        <w:jc w:val="both"/>
        <w:rPr>
          <w:rFonts w:eastAsia="Times New Roman" w:cstheme="minorHAnsi"/>
          <w:lang w:val="en-US"/>
        </w:rPr>
      </w:pPr>
      <w:r w:rsidRPr="004442A4">
        <w:rPr>
          <w:rFonts w:eastAsia="Times New Roman" w:cstheme="minorHAnsi"/>
        </w:rPr>
        <w:t xml:space="preserve">Coercion is the act of governing the actions of another by force or by threat, </w:t>
      </w:r>
      <w:r w:rsidR="0078063E" w:rsidRPr="004442A4">
        <w:rPr>
          <w:rFonts w:eastAsia="Times New Roman" w:cstheme="minorHAnsi"/>
        </w:rPr>
        <w:t>to</w:t>
      </w:r>
      <w:r w:rsidRPr="004442A4">
        <w:rPr>
          <w:rFonts w:eastAsia="Times New Roman" w:cstheme="minorHAnsi"/>
        </w:rPr>
        <w:t xml:space="preserve"> overwhelm and compel that individual to act against their will</w:t>
      </w:r>
      <w:r w:rsidRPr="004442A4">
        <w:rPr>
          <w:rFonts w:eastAsia="Times New Roman" w:cstheme="minorHAnsi"/>
          <w:lang w:val="en-US"/>
        </w:rPr>
        <w:t>.</w:t>
      </w:r>
    </w:p>
    <w:p w14:paraId="5CEB8AE1" w14:textId="77777777" w:rsidR="00566B52" w:rsidRPr="004442A4" w:rsidRDefault="00566B52" w:rsidP="004442A4">
      <w:pPr>
        <w:widowControl w:val="0"/>
        <w:autoSpaceDE w:val="0"/>
        <w:autoSpaceDN w:val="0"/>
        <w:adjustRightInd w:val="0"/>
        <w:spacing w:after="120" w:line="240" w:lineRule="auto"/>
        <w:ind w:left="284"/>
        <w:jc w:val="both"/>
        <w:rPr>
          <w:rFonts w:eastAsia="Times New Roman" w:cstheme="minorHAnsi"/>
          <w:lang w:val="en-US"/>
        </w:rPr>
      </w:pPr>
      <w:r w:rsidRPr="004442A4">
        <w:rPr>
          <w:rFonts w:eastAsia="Times New Roman" w:cstheme="minorHAnsi"/>
        </w:rPr>
        <w:t>Online access to records and transactional services provides new opportunities for coercive behaviour.</w:t>
      </w:r>
    </w:p>
    <w:p w14:paraId="5CEB8AE2" w14:textId="76A7ACAE" w:rsidR="00CF63A2" w:rsidRPr="004442A4" w:rsidRDefault="00566B52" w:rsidP="003B47A7">
      <w:pPr>
        <w:widowControl w:val="0"/>
        <w:autoSpaceDE w:val="0"/>
        <w:autoSpaceDN w:val="0"/>
        <w:adjustRightInd w:val="0"/>
        <w:spacing w:after="120" w:line="240" w:lineRule="auto"/>
        <w:ind w:left="284"/>
        <w:jc w:val="both"/>
        <w:rPr>
          <w:rFonts w:eastAsia="Times New Roman" w:cstheme="minorHAnsi"/>
        </w:rPr>
      </w:pPr>
      <w:r w:rsidRPr="004442A4">
        <w:rPr>
          <w:rFonts w:eastAsia="Times New Roman" w:cstheme="minorHAnsi"/>
        </w:rPr>
        <w:t xml:space="preserve">If the </w:t>
      </w:r>
      <w:r w:rsidR="005177B0" w:rsidRPr="004442A4">
        <w:rPr>
          <w:rFonts w:eastAsia="Times New Roman" w:cstheme="minorHAnsi"/>
        </w:rPr>
        <w:t>company</w:t>
      </w:r>
      <w:r w:rsidRPr="004442A4">
        <w:rPr>
          <w:rFonts w:eastAsia="Times New Roman" w:cstheme="minorHAnsi"/>
        </w:rPr>
        <w:t xml:space="preserve"> suspects coercive behaviour for either an individual or proxy access application, then access will be refused and documented in the medical notes. </w:t>
      </w:r>
      <w:r w:rsidR="00ED1032" w:rsidRPr="004442A4">
        <w:rPr>
          <w:rFonts w:eastAsia="Times New Roman" w:cstheme="minorHAnsi"/>
        </w:rPr>
        <w:t xml:space="preserve"> </w:t>
      </w:r>
      <w:r w:rsidRPr="004442A4">
        <w:rPr>
          <w:rFonts w:eastAsia="Times New Roman" w:cstheme="minorHAnsi"/>
        </w:rPr>
        <w:t xml:space="preserve">The </w:t>
      </w:r>
      <w:r w:rsidR="0055416C" w:rsidRPr="004442A4">
        <w:rPr>
          <w:rFonts w:eastAsia="Times New Roman" w:cstheme="minorHAnsi"/>
        </w:rPr>
        <w:t>Clinical Lead</w:t>
      </w:r>
      <w:r w:rsidRPr="004442A4">
        <w:rPr>
          <w:rFonts w:eastAsia="Times New Roman" w:cstheme="minorHAnsi"/>
        </w:rPr>
        <w:t xml:space="preserve"> will liaise with CCG Safeguarding Team</w:t>
      </w:r>
      <w:r w:rsidR="00ED1032" w:rsidRPr="004442A4">
        <w:rPr>
          <w:rFonts w:eastAsia="Times New Roman" w:cstheme="minorHAnsi"/>
        </w:rPr>
        <w:t>,</w:t>
      </w:r>
      <w:r w:rsidRPr="004442A4">
        <w:rPr>
          <w:rFonts w:eastAsia="Times New Roman" w:cstheme="minorHAnsi"/>
        </w:rPr>
        <w:t xml:space="preserve"> if appropriate</w:t>
      </w:r>
    </w:p>
    <w:p w14:paraId="5CEB8AE3" w14:textId="77777777" w:rsidR="00CF63A2" w:rsidRPr="00913B09" w:rsidRDefault="00CF63A2" w:rsidP="002B108B">
      <w:pPr>
        <w:pStyle w:val="Style3"/>
      </w:pPr>
      <w:r w:rsidRPr="00913B09">
        <w:t>Former NHS Patients Living Outside the UK</w:t>
      </w:r>
    </w:p>
    <w:p w14:paraId="5CEB8AE6" w14:textId="56D48644" w:rsidR="00CF63A2" w:rsidRPr="004442A4" w:rsidRDefault="00CF63A2" w:rsidP="004442A4">
      <w:pPr>
        <w:spacing w:after="120" w:line="240" w:lineRule="auto"/>
        <w:ind w:left="357"/>
        <w:jc w:val="both"/>
        <w:rPr>
          <w:rFonts w:eastAsia="Arial" w:cstheme="minorHAnsi"/>
          <w:color w:val="000000"/>
          <w:spacing w:val="-2"/>
        </w:rPr>
      </w:pPr>
      <w:r w:rsidRPr="004442A4">
        <w:rPr>
          <w:rFonts w:eastAsia="Arial" w:cstheme="minorHAnsi"/>
          <w:color w:val="000000"/>
          <w:spacing w:val="-2"/>
        </w:rPr>
        <w:t>Patients no longer resident in the UK still have the same rights to access their information as those who still reside here and must make their request for information in the same manner.</w:t>
      </w:r>
    </w:p>
    <w:p w14:paraId="5CEB8AE7" w14:textId="68C029E7" w:rsidR="00CF63A2" w:rsidRDefault="00CF63A2" w:rsidP="00CB4B65">
      <w:pPr>
        <w:spacing w:after="0" w:line="240" w:lineRule="auto"/>
        <w:ind w:left="360"/>
        <w:jc w:val="both"/>
        <w:rPr>
          <w:rFonts w:eastAsia="Arial" w:cstheme="minorHAnsi"/>
          <w:color w:val="000000"/>
          <w:spacing w:val="-2"/>
        </w:rPr>
      </w:pPr>
      <w:r w:rsidRPr="004442A4">
        <w:rPr>
          <w:rFonts w:eastAsia="Arial" w:cstheme="minorHAnsi"/>
          <w:color w:val="000000"/>
          <w:spacing w:val="-2"/>
        </w:rPr>
        <w:t xml:space="preserve">Original health records should not be given to an individual to take abroad with them, however, the </w:t>
      </w:r>
      <w:r w:rsidR="005177B0" w:rsidRPr="004442A4">
        <w:rPr>
          <w:rFonts w:eastAsia="Arial" w:cstheme="minorHAnsi"/>
          <w:color w:val="000000"/>
          <w:spacing w:val="-2"/>
        </w:rPr>
        <w:t>Company</w:t>
      </w:r>
      <w:r w:rsidRPr="004442A4">
        <w:rPr>
          <w:rFonts w:eastAsia="Arial" w:cstheme="minorHAnsi"/>
          <w:color w:val="000000"/>
          <w:spacing w:val="-2"/>
        </w:rPr>
        <w:t xml:space="preserve"> may be prepared to provide a summary of the treatment given whilst resident in the UK.</w:t>
      </w:r>
    </w:p>
    <w:p w14:paraId="2F146141" w14:textId="77777777" w:rsidR="003B47A7" w:rsidRPr="004442A4" w:rsidRDefault="003B47A7" w:rsidP="00CB4B65">
      <w:pPr>
        <w:spacing w:after="0" w:line="240" w:lineRule="auto"/>
        <w:ind w:left="360"/>
        <w:jc w:val="both"/>
        <w:rPr>
          <w:rFonts w:eastAsia="Arial" w:cstheme="minorHAnsi"/>
          <w:color w:val="000000"/>
          <w:spacing w:val="-2"/>
        </w:rPr>
      </w:pPr>
    </w:p>
    <w:p w14:paraId="5CEB8AE9" w14:textId="77777777" w:rsidR="00566B52" w:rsidRPr="00913B09" w:rsidRDefault="00566B52" w:rsidP="002B108B">
      <w:pPr>
        <w:pStyle w:val="Style3"/>
      </w:pPr>
      <w:r w:rsidRPr="00913B09">
        <w:t xml:space="preserve"> Staff Training and Education </w:t>
      </w:r>
    </w:p>
    <w:p w14:paraId="5CEB8AEC" w14:textId="35944A36" w:rsidR="00566B52" w:rsidRPr="004442A4" w:rsidRDefault="00566B52" w:rsidP="004442A4">
      <w:pPr>
        <w:spacing w:after="120" w:line="240" w:lineRule="auto"/>
        <w:ind w:left="284"/>
        <w:jc w:val="both"/>
        <w:rPr>
          <w:rFonts w:eastAsia="Arial" w:cstheme="minorHAnsi"/>
          <w:color w:val="000000"/>
          <w:spacing w:val="-2"/>
        </w:rPr>
      </w:pPr>
      <w:r w:rsidRPr="004442A4">
        <w:rPr>
          <w:rFonts w:eastAsia="Arial" w:cstheme="minorHAnsi"/>
          <w:color w:val="000000"/>
          <w:spacing w:val="-2"/>
        </w:rPr>
        <w:t xml:space="preserve">All staff at the </w:t>
      </w:r>
      <w:r w:rsidR="005177B0" w:rsidRPr="004442A4">
        <w:rPr>
          <w:rFonts w:eastAsia="Arial" w:cstheme="minorHAnsi"/>
          <w:color w:val="000000"/>
          <w:spacing w:val="-2"/>
        </w:rPr>
        <w:t>company</w:t>
      </w:r>
      <w:r w:rsidRPr="004442A4">
        <w:rPr>
          <w:rFonts w:eastAsia="Arial" w:cstheme="minorHAnsi"/>
          <w:color w:val="000000"/>
          <w:spacing w:val="-2"/>
        </w:rPr>
        <w:t xml:space="preserve"> will be required to read the policy and confirm their understanding. </w:t>
      </w:r>
    </w:p>
    <w:p w14:paraId="5CEB8AEE" w14:textId="4567063F" w:rsidR="00CF63A2" w:rsidRPr="004442A4" w:rsidRDefault="00CF63A2" w:rsidP="004442A4">
      <w:pPr>
        <w:spacing w:after="120" w:line="240" w:lineRule="auto"/>
        <w:ind w:left="284"/>
        <w:jc w:val="both"/>
        <w:rPr>
          <w:rFonts w:eastAsia="Arial" w:cstheme="minorHAnsi"/>
          <w:color w:val="000000"/>
          <w:spacing w:val="-2"/>
        </w:rPr>
      </w:pPr>
      <w:r w:rsidRPr="004442A4">
        <w:rPr>
          <w:rFonts w:cstheme="minorHAnsi"/>
          <w:color w:val="000000"/>
        </w:rPr>
        <w:t>The Data Security e-learning programme has been designed to support staff in health and social care Level 1 – Data security awareness:</w:t>
      </w:r>
    </w:p>
    <w:p w14:paraId="2C8B6CA3" w14:textId="77777777" w:rsidR="003B47A7" w:rsidRDefault="003B47A7" w:rsidP="004442A4">
      <w:pPr>
        <w:spacing w:after="120" w:line="240" w:lineRule="auto"/>
        <w:ind w:left="284"/>
        <w:jc w:val="both"/>
        <w:rPr>
          <w:rFonts w:cstheme="minorHAnsi"/>
          <w:color w:val="000000"/>
        </w:rPr>
      </w:pPr>
    </w:p>
    <w:p w14:paraId="5CEB8AEF" w14:textId="3BE3C864" w:rsidR="007F3B4B" w:rsidRPr="004442A4" w:rsidRDefault="00CF63A2" w:rsidP="004442A4">
      <w:pPr>
        <w:spacing w:after="120" w:line="240" w:lineRule="auto"/>
        <w:ind w:left="284"/>
        <w:jc w:val="both"/>
        <w:rPr>
          <w:rFonts w:eastAsia="Arial" w:cstheme="minorHAnsi"/>
          <w:color w:val="000000"/>
          <w:spacing w:val="-2"/>
        </w:rPr>
      </w:pPr>
      <w:r w:rsidRPr="004442A4">
        <w:rPr>
          <w:rFonts w:cstheme="minorHAnsi"/>
          <w:color w:val="000000"/>
        </w:rPr>
        <w:lastRenderedPageBreak/>
        <w:t xml:space="preserve">This course is mandated for everyone working in health and care. </w:t>
      </w:r>
      <w:r w:rsidR="00ED1032" w:rsidRPr="004442A4">
        <w:rPr>
          <w:rFonts w:cstheme="minorHAnsi"/>
          <w:color w:val="000000"/>
        </w:rPr>
        <w:t xml:space="preserve"> </w:t>
      </w:r>
      <w:r w:rsidRPr="004442A4">
        <w:rPr>
          <w:rFonts w:cstheme="minorHAnsi"/>
          <w:color w:val="000000"/>
        </w:rPr>
        <w:t>It has been designed to inform, educate and upskill staff in data security and information sharing.</w:t>
      </w:r>
      <w:r w:rsidR="00ED1032" w:rsidRPr="004442A4">
        <w:rPr>
          <w:rFonts w:cstheme="minorHAnsi"/>
          <w:color w:val="000000"/>
        </w:rPr>
        <w:t xml:space="preserve"> </w:t>
      </w:r>
      <w:r w:rsidRPr="004442A4">
        <w:rPr>
          <w:rFonts w:cstheme="minorHAnsi"/>
          <w:color w:val="000000"/>
        </w:rPr>
        <w:t xml:space="preserve"> It provides an understanding of the principles and importance of data security and information governance. </w:t>
      </w:r>
      <w:r w:rsidR="00ED1032" w:rsidRPr="004442A4">
        <w:rPr>
          <w:rFonts w:cstheme="minorHAnsi"/>
          <w:color w:val="000000"/>
        </w:rPr>
        <w:t xml:space="preserve"> </w:t>
      </w:r>
      <w:r w:rsidRPr="004442A4">
        <w:rPr>
          <w:rFonts w:cstheme="minorHAnsi"/>
          <w:color w:val="000000"/>
        </w:rPr>
        <w:t>It looks at staff responsibilities when sharing information and includes a section on how to act to reduce the risk of breaches and incidents.</w:t>
      </w:r>
    </w:p>
    <w:p w14:paraId="5CEB8B07" w14:textId="77777777" w:rsidR="00CB4B65" w:rsidRPr="00913B09" w:rsidRDefault="00CB4B65" w:rsidP="009826D8">
      <w:pPr>
        <w:spacing w:after="0" w:line="240" w:lineRule="auto"/>
        <w:rPr>
          <w:rFonts w:eastAsia="Arial" w:cstheme="minorHAnsi"/>
          <w:color w:val="000000"/>
          <w:spacing w:val="-2"/>
          <w:sz w:val="24"/>
          <w:szCs w:val="24"/>
        </w:rPr>
      </w:pPr>
    </w:p>
    <w:p w14:paraId="5CEB8B08" w14:textId="77777777" w:rsidR="007F3B4B" w:rsidRPr="00913B09" w:rsidRDefault="007F3B4B" w:rsidP="002B108B">
      <w:pPr>
        <w:pStyle w:val="Style3"/>
      </w:pPr>
      <w:r w:rsidRPr="00913B09">
        <w:t>Disputes Concerning Content of Records.</w:t>
      </w:r>
    </w:p>
    <w:p w14:paraId="5CEB8B0B" w14:textId="6BF98E72" w:rsidR="007F3B4B" w:rsidRPr="004442A4" w:rsidRDefault="007F3B4B" w:rsidP="004442A4">
      <w:pPr>
        <w:spacing w:after="120" w:line="240" w:lineRule="auto"/>
        <w:ind w:left="284"/>
        <w:jc w:val="both"/>
        <w:rPr>
          <w:rFonts w:eastAsia="Arial" w:cstheme="minorHAnsi"/>
          <w:spacing w:val="-2"/>
        </w:rPr>
      </w:pPr>
      <w:r w:rsidRPr="004442A4">
        <w:rPr>
          <w:rFonts w:eastAsia="Arial" w:cstheme="minorHAnsi"/>
          <w:spacing w:val="-2"/>
        </w:rPr>
        <w:t xml:space="preserve">Once access to medical records has been granted patients </w:t>
      </w:r>
      <w:r w:rsidR="00B100F0" w:rsidRPr="004442A4">
        <w:rPr>
          <w:rFonts w:eastAsia="Arial" w:cstheme="minorHAnsi"/>
          <w:spacing w:val="-2"/>
        </w:rPr>
        <w:t xml:space="preserve">often </w:t>
      </w:r>
      <w:r w:rsidRPr="004442A4">
        <w:rPr>
          <w:rFonts w:eastAsia="Arial" w:cstheme="minorHAnsi"/>
          <w:spacing w:val="-2"/>
        </w:rPr>
        <w:t xml:space="preserve">dispute their accuracy or lack understanding of </w:t>
      </w:r>
      <w:r w:rsidR="008867D1" w:rsidRPr="004442A4">
        <w:rPr>
          <w:rFonts w:eastAsia="Arial" w:cstheme="minorHAnsi"/>
          <w:spacing w:val="-2"/>
        </w:rPr>
        <w:t xml:space="preserve">the </w:t>
      </w:r>
      <w:r w:rsidRPr="004442A4">
        <w:rPr>
          <w:rFonts w:eastAsia="Arial" w:cstheme="minorHAnsi"/>
          <w:spacing w:val="-2"/>
        </w:rPr>
        <w:t>medical codes</w:t>
      </w:r>
      <w:r w:rsidR="008867D1" w:rsidRPr="004442A4">
        <w:rPr>
          <w:rFonts w:eastAsia="Arial" w:cstheme="minorHAnsi"/>
          <w:spacing w:val="-2"/>
        </w:rPr>
        <w:t xml:space="preserve"> that are held in the records. </w:t>
      </w:r>
    </w:p>
    <w:p w14:paraId="5CEB8B0D" w14:textId="2E461161" w:rsidR="007F3B4B" w:rsidRPr="004442A4" w:rsidRDefault="007F3B4B" w:rsidP="004442A4">
      <w:pPr>
        <w:spacing w:after="120" w:line="240" w:lineRule="auto"/>
        <w:ind w:left="284"/>
        <w:jc w:val="both"/>
        <w:rPr>
          <w:rFonts w:eastAsia="Arial" w:cstheme="minorHAnsi"/>
          <w:spacing w:val="-2"/>
        </w:rPr>
      </w:pPr>
      <w:r w:rsidRPr="004442A4">
        <w:rPr>
          <w:rFonts w:eastAsia="Arial" w:cstheme="minorHAnsi"/>
          <w:spacing w:val="-2"/>
        </w:rPr>
        <w:t>Patients notice and point out errors in their record</w:t>
      </w:r>
      <w:r w:rsidR="008867D1" w:rsidRPr="004442A4">
        <w:rPr>
          <w:rFonts w:eastAsia="Arial" w:cstheme="minorHAnsi"/>
          <w:spacing w:val="-2"/>
        </w:rPr>
        <w:t xml:space="preserve"> these may be </w:t>
      </w:r>
      <w:r w:rsidRPr="004442A4">
        <w:rPr>
          <w:rFonts w:eastAsia="Arial" w:cstheme="minorHAnsi"/>
          <w:spacing w:val="-2"/>
        </w:rPr>
        <w:t>unexpected third-party references</w:t>
      </w:r>
      <w:r w:rsidR="008867D1" w:rsidRPr="004442A4">
        <w:rPr>
          <w:rFonts w:eastAsia="Arial" w:cstheme="minorHAnsi"/>
          <w:spacing w:val="-2"/>
        </w:rPr>
        <w:t xml:space="preserve"> or </w:t>
      </w:r>
      <w:r w:rsidRPr="004442A4">
        <w:rPr>
          <w:rFonts w:eastAsia="Arial" w:cstheme="minorHAnsi"/>
          <w:spacing w:val="-2"/>
        </w:rPr>
        <w:t xml:space="preserve">entries they object to or want deleted.  The right of rectification and deletion are now </w:t>
      </w:r>
      <w:r w:rsidR="008867D1" w:rsidRPr="004442A4">
        <w:rPr>
          <w:rFonts w:eastAsia="Arial" w:cstheme="minorHAnsi"/>
          <w:spacing w:val="-2"/>
        </w:rPr>
        <w:t xml:space="preserve">a right under the </w:t>
      </w:r>
      <w:r w:rsidRPr="004442A4">
        <w:rPr>
          <w:rFonts w:eastAsia="Arial" w:cstheme="minorHAnsi"/>
          <w:spacing w:val="-2"/>
        </w:rPr>
        <w:t>GDPR.</w:t>
      </w:r>
    </w:p>
    <w:p w14:paraId="5CEB8B0F" w14:textId="4B1FA00B" w:rsidR="007F3B4B" w:rsidRPr="004442A4" w:rsidRDefault="007F3B4B" w:rsidP="004442A4">
      <w:pPr>
        <w:spacing w:after="120" w:line="240" w:lineRule="auto"/>
        <w:ind w:left="284"/>
        <w:jc w:val="both"/>
        <w:rPr>
          <w:rFonts w:eastAsia="Arial" w:cstheme="minorHAnsi"/>
          <w:spacing w:val="-2"/>
        </w:rPr>
      </w:pPr>
      <w:r w:rsidRPr="004442A4">
        <w:rPr>
          <w:rFonts w:eastAsia="Arial" w:cstheme="minorHAnsi"/>
          <w:spacing w:val="-2"/>
        </w:rPr>
        <w:t xml:space="preserve">Reception Staff will pass on any queries to the </w:t>
      </w:r>
      <w:r w:rsidR="00704536">
        <w:rPr>
          <w:rFonts w:eastAsia="Arial" w:cstheme="minorHAnsi"/>
          <w:spacing w:val="-2"/>
        </w:rPr>
        <w:t>Service</w:t>
      </w:r>
      <w:r w:rsidRPr="004442A4">
        <w:rPr>
          <w:rFonts w:eastAsia="Arial" w:cstheme="minorHAnsi"/>
          <w:spacing w:val="-2"/>
        </w:rPr>
        <w:t xml:space="preserve"> </w:t>
      </w:r>
      <w:r w:rsidR="00F151A1" w:rsidRPr="004442A4">
        <w:rPr>
          <w:rFonts w:eastAsia="Arial" w:cstheme="minorHAnsi"/>
          <w:spacing w:val="-2"/>
        </w:rPr>
        <w:t>M</w:t>
      </w:r>
      <w:r w:rsidRPr="004442A4">
        <w:rPr>
          <w:rFonts w:eastAsia="Arial" w:cstheme="minorHAnsi"/>
          <w:spacing w:val="-2"/>
        </w:rPr>
        <w:t>anager who will contact the patient</w:t>
      </w:r>
      <w:r w:rsidR="008867D1" w:rsidRPr="004442A4">
        <w:rPr>
          <w:rFonts w:eastAsia="Arial" w:cstheme="minorHAnsi"/>
          <w:spacing w:val="-2"/>
        </w:rPr>
        <w:t xml:space="preserve"> and th</w:t>
      </w:r>
      <w:r w:rsidRPr="004442A4">
        <w:rPr>
          <w:rFonts w:eastAsia="Arial" w:cstheme="minorHAnsi"/>
          <w:spacing w:val="-2"/>
        </w:rPr>
        <w:t xml:space="preserve">e </w:t>
      </w:r>
      <w:r w:rsidR="00D16326">
        <w:rPr>
          <w:rFonts w:eastAsia="Arial" w:cstheme="minorHAnsi"/>
          <w:spacing w:val="-2"/>
        </w:rPr>
        <w:t>Service</w:t>
      </w:r>
      <w:r w:rsidRPr="004442A4">
        <w:rPr>
          <w:rFonts w:eastAsia="Arial" w:cstheme="minorHAnsi"/>
          <w:spacing w:val="-2"/>
        </w:rPr>
        <w:t xml:space="preserve"> </w:t>
      </w:r>
      <w:r w:rsidR="00F151A1" w:rsidRPr="004442A4">
        <w:rPr>
          <w:rFonts w:eastAsia="Arial" w:cstheme="minorHAnsi"/>
          <w:spacing w:val="-2"/>
        </w:rPr>
        <w:t>M</w:t>
      </w:r>
      <w:r w:rsidRPr="004442A4">
        <w:rPr>
          <w:rFonts w:eastAsia="Arial" w:cstheme="minorHAnsi"/>
          <w:spacing w:val="-2"/>
        </w:rPr>
        <w:t>anager will investigate to identify the source and extent of the problem</w:t>
      </w:r>
      <w:r w:rsidR="008867D1" w:rsidRPr="004442A4">
        <w:rPr>
          <w:rFonts w:eastAsia="Arial" w:cstheme="minorHAnsi"/>
          <w:spacing w:val="-2"/>
        </w:rPr>
        <w:t>.</w:t>
      </w:r>
    </w:p>
    <w:p w14:paraId="535A12CD" w14:textId="1CE7608C" w:rsidR="007F3B4B" w:rsidRPr="003B47A7" w:rsidRDefault="007F3B4B" w:rsidP="003B47A7">
      <w:pPr>
        <w:spacing w:after="120" w:line="240" w:lineRule="auto"/>
        <w:ind w:left="284"/>
        <w:jc w:val="both"/>
        <w:rPr>
          <w:rFonts w:eastAsia="Arial" w:cstheme="minorHAnsi"/>
          <w:spacing w:val="-2"/>
        </w:rPr>
      </w:pPr>
      <w:r w:rsidRPr="004442A4">
        <w:rPr>
          <w:rFonts w:eastAsia="Arial" w:cstheme="minorHAnsi"/>
          <w:spacing w:val="-2"/>
        </w:rPr>
        <w:t xml:space="preserve">The </w:t>
      </w:r>
      <w:r w:rsidR="004442A4">
        <w:rPr>
          <w:rFonts w:eastAsia="Arial" w:cstheme="minorHAnsi"/>
          <w:spacing w:val="-2"/>
        </w:rPr>
        <w:t>Service</w:t>
      </w:r>
      <w:r w:rsidRPr="004442A4">
        <w:rPr>
          <w:rFonts w:eastAsia="Arial" w:cstheme="minorHAnsi"/>
          <w:spacing w:val="-2"/>
        </w:rPr>
        <w:t xml:space="preserve"> Manager will then decide on the most appropriate action. Where the dispute concerns a medical entry the clinician who made the entry should be consulted</w:t>
      </w:r>
      <w:r w:rsidR="008867D1" w:rsidRPr="004442A4">
        <w:rPr>
          <w:rFonts w:eastAsia="Arial" w:cstheme="minorHAnsi"/>
          <w:spacing w:val="-2"/>
        </w:rPr>
        <w:t>. C</w:t>
      </w:r>
      <w:r w:rsidRPr="004442A4">
        <w:rPr>
          <w:rFonts w:eastAsia="Arial" w:cstheme="minorHAnsi"/>
          <w:spacing w:val="-2"/>
        </w:rPr>
        <w:t xml:space="preserve">onsideration </w:t>
      </w:r>
      <w:r w:rsidR="008867D1" w:rsidRPr="004442A4">
        <w:rPr>
          <w:rFonts w:eastAsia="Arial" w:cstheme="minorHAnsi"/>
          <w:spacing w:val="-2"/>
        </w:rPr>
        <w:t xml:space="preserve">should be </w:t>
      </w:r>
      <w:r w:rsidRPr="004442A4">
        <w:rPr>
          <w:rFonts w:eastAsia="Arial" w:cstheme="minorHAnsi"/>
          <w:spacing w:val="-2"/>
        </w:rPr>
        <w:t xml:space="preserve">given as to whether it is appropriate to change or delete an entry. </w:t>
      </w:r>
      <w:r w:rsidR="008867D1" w:rsidRPr="004442A4">
        <w:rPr>
          <w:rFonts w:eastAsia="Arial" w:cstheme="minorHAnsi"/>
          <w:spacing w:val="-2"/>
        </w:rPr>
        <w:t xml:space="preserve">It is not always </w:t>
      </w:r>
      <w:r w:rsidRPr="004442A4">
        <w:rPr>
          <w:rFonts w:eastAsia="Arial" w:cstheme="minorHAnsi"/>
          <w:spacing w:val="-2"/>
        </w:rPr>
        <w:t>possible or practical to contact the clinician</w:t>
      </w:r>
      <w:r w:rsidR="008867D1" w:rsidRPr="004442A4">
        <w:rPr>
          <w:rFonts w:eastAsia="Arial" w:cstheme="minorHAnsi"/>
          <w:spacing w:val="-2"/>
        </w:rPr>
        <w:t xml:space="preserve"> who made the entry and in this case</w:t>
      </w:r>
      <w:r w:rsidRPr="004442A4">
        <w:rPr>
          <w:rFonts w:eastAsia="Arial" w:cstheme="minorHAnsi"/>
          <w:spacing w:val="-2"/>
        </w:rPr>
        <w:t xml:space="preserve"> the </w:t>
      </w:r>
      <w:r w:rsidR="005177B0" w:rsidRPr="004442A4">
        <w:rPr>
          <w:rFonts w:eastAsia="Arial" w:cstheme="minorHAnsi"/>
          <w:spacing w:val="-2"/>
        </w:rPr>
        <w:t>company</w:t>
      </w:r>
      <w:r w:rsidR="008867D1" w:rsidRPr="004442A4">
        <w:rPr>
          <w:rFonts w:eastAsia="Arial" w:cstheme="minorHAnsi"/>
          <w:spacing w:val="-2"/>
        </w:rPr>
        <w:t xml:space="preserve"> </w:t>
      </w:r>
      <w:r w:rsidR="0055416C" w:rsidRPr="004442A4">
        <w:rPr>
          <w:rFonts w:eastAsia="Arial" w:cstheme="minorHAnsi"/>
          <w:spacing w:val="-2"/>
        </w:rPr>
        <w:t>Clinical Lead</w:t>
      </w:r>
      <w:r w:rsidRPr="004442A4">
        <w:rPr>
          <w:rFonts w:eastAsia="Arial" w:cstheme="minorHAnsi"/>
          <w:spacing w:val="-2"/>
        </w:rPr>
        <w:t xml:space="preserve"> should be consulted. </w:t>
      </w:r>
      <w:r w:rsidR="008867D1" w:rsidRPr="004442A4">
        <w:rPr>
          <w:rFonts w:eastAsia="Arial" w:cstheme="minorHAnsi"/>
          <w:spacing w:val="-2"/>
        </w:rPr>
        <w:t xml:space="preserve">Where a decision is taken not to amend </w:t>
      </w:r>
      <w:r w:rsidRPr="004442A4">
        <w:rPr>
          <w:rFonts w:eastAsia="Arial" w:cstheme="minorHAnsi"/>
          <w:spacing w:val="-2"/>
        </w:rPr>
        <w:t>the records</w:t>
      </w:r>
      <w:r w:rsidR="008867D1" w:rsidRPr="004442A4">
        <w:rPr>
          <w:rFonts w:eastAsia="Arial" w:cstheme="minorHAnsi"/>
          <w:spacing w:val="-2"/>
        </w:rPr>
        <w:t xml:space="preserve"> an explanation should be given to the patient outlining the reasons why. </w:t>
      </w:r>
    </w:p>
    <w:p w14:paraId="5CEB8B13" w14:textId="3167F2CE" w:rsidR="007F3B4B" w:rsidRPr="004442A4" w:rsidRDefault="007F3B4B" w:rsidP="003B47A7">
      <w:pPr>
        <w:spacing w:after="120" w:line="240" w:lineRule="auto"/>
        <w:ind w:left="284"/>
        <w:jc w:val="both"/>
        <w:rPr>
          <w:rFonts w:eastAsia="Arial" w:cstheme="minorHAnsi"/>
          <w:spacing w:val="-2"/>
        </w:rPr>
      </w:pPr>
      <w:r w:rsidRPr="004442A4">
        <w:rPr>
          <w:rFonts w:eastAsia="Arial" w:cstheme="minorHAnsi"/>
          <w:spacing w:val="-2"/>
        </w:rPr>
        <w:t xml:space="preserve">If a patient wishes to apply their rights </w:t>
      </w:r>
      <w:r w:rsidR="00B85A84" w:rsidRPr="004442A4">
        <w:rPr>
          <w:rFonts w:eastAsia="Arial" w:cstheme="minorHAnsi"/>
          <w:spacing w:val="-2"/>
        </w:rPr>
        <w:t>of:</w:t>
      </w:r>
    </w:p>
    <w:p w14:paraId="5CEB8B14" w14:textId="77777777" w:rsidR="007F3B4B" w:rsidRPr="004442A4" w:rsidRDefault="007F3B4B" w:rsidP="004442A4">
      <w:pPr>
        <w:numPr>
          <w:ilvl w:val="0"/>
          <w:numId w:val="14"/>
        </w:numPr>
        <w:spacing w:after="0" w:line="240" w:lineRule="auto"/>
        <w:ind w:firstLine="131"/>
        <w:jc w:val="both"/>
        <w:rPr>
          <w:rFonts w:eastAsia="Arial" w:cstheme="minorHAnsi"/>
          <w:spacing w:val="-2"/>
        </w:rPr>
      </w:pPr>
      <w:r w:rsidRPr="004442A4">
        <w:rPr>
          <w:rFonts w:eastAsia="Arial" w:cstheme="minorHAnsi"/>
          <w:spacing w:val="-2"/>
        </w:rPr>
        <w:t>Rectification (Article 16 GDPR)</w:t>
      </w:r>
    </w:p>
    <w:p w14:paraId="5CEB8B15" w14:textId="77777777" w:rsidR="007F3B4B" w:rsidRPr="004442A4" w:rsidRDefault="007F3B4B" w:rsidP="004442A4">
      <w:pPr>
        <w:numPr>
          <w:ilvl w:val="0"/>
          <w:numId w:val="14"/>
        </w:numPr>
        <w:spacing w:after="0" w:line="240" w:lineRule="auto"/>
        <w:ind w:firstLine="131"/>
        <w:jc w:val="both"/>
        <w:rPr>
          <w:rFonts w:eastAsia="Arial" w:cstheme="minorHAnsi"/>
          <w:spacing w:val="-2"/>
        </w:rPr>
      </w:pPr>
      <w:r w:rsidRPr="004442A4">
        <w:rPr>
          <w:rFonts w:eastAsia="Arial" w:cstheme="minorHAnsi"/>
          <w:spacing w:val="-2"/>
        </w:rPr>
        <w:t xml:space="preserve">Erasure (Article 17 GDPR) </w:t>
      </w:r>
    </w:p>
    <w:p w14:paraId="5CEB8B16" w14:textId="77777777" w:rsidR="007F3B4B" w:rsidRPr="004442A4" w:rsidRDefault="007F3B4B" w:rsidP="004442A4">
      <w:pPr>
        <w:numPr>
          <w:ilvl w:val="0"/>
          <w:numId w:val="14"/>
        </w:numPr>
        <w:spacing w:after="0" w:line="240" w:lineRule="auto"/>
        <w:ind w:firstLine="131"/>
        <w:jc w:val="both"/>
        <w:rPr>
          <w:rFonts w:eastAsia="Arial" w:cstheme="minorHAnsi"/>
          <w:spacing w:val="-2"/>
        </w:rPr>
      </w:pPr>
      <w:r w:rsidRPr="004442A4">
        <w:rPr>
          <w:rFonts w:eastAsia="Arial" w:cstheme="minorHAnsi"/>
          <w:spacing w:val="-2"/>
        </w:rPr>
        <w:t>Restriction of Processing (Article 18 GDPR)</w:t>
      </w:r>
    </w:p>
    <w:p w14:paraId="5CEB8B17" w14:textId="77777777" w:rsidR="007F3B4B" w:rsidRPr="004442A4" w:rsidRDefault="007F3B4B" w:rsidP="004442A4">
      <w:pPr>
        <w:numPr>
          <w:ilvl w:val="0"/>
          <w:numId w:val="14"/>
        </w:numPr>
        <w:spacing w:after="0" w:line="240" w:lineRule="auto"/>
        <w:ind w:firstLine="131"/>
        <w:jc w:val="both"/>
        <w:rPr>
          <w:rFonts w:eastAsia="Arial" w:cstheme="minorHAnsi"/>
          <w:spacing w:val="-2"/>
        </w:rPr>
      </w:pPr>
      <w:r w:rsidRPr="004442A4">
        <w:rPr>
          <w:rFonts w:eastAsia="Arial" w:cstheme="minorHAnsi"/>
          <w:spacing w:val="-2"/>
        </w:rPr>
        <w:t>Data Portability (Article 20 GDPR)</w:t>
      </w:r>
    </w:p>
    <w:p w14:paraId="5CEB8B18" w14:textId="77777777" w:rsidR="007F3B4B" w:rsidRPr="004442A4" w:rsidRDefault="007F3B4B" w:rsidP="007F3B4B">
      <w:pPr>
        <w:spacing w:after="0" w:line="240" w:lineRule="auto"/>
        <w:ind w:left="720"/>
        <w:jc w:val="both"/>
        <w:rPr>
          <w:rFonts w:eastAsia="Arial" w:cstheme="minorHAnsi"/>
          <w:spacing w:val="-2"/>
        </w:rPr>
      </w:pPr>
    </w:p>
    <w:p w14:paraId="5CEB8B19" w14:textId="60335844" w:rsidR="007F3B4B" w:rsidRPr="004442A4" w:rsidRDefault="008867D1" w:rsidP="004442A4">
      <w:pPr>
        <w:spacing w:after="0" w:line="240" w:lineRule="auto"/>
        <w:ind w:left="360"/>
        <w:jc w:val="both"/>
        <w:rPr>
          <w:rFonts w:eastAsia="Times New Roman" w:cstheme="minorHAnsi"/>
          <w:color w:val="000000"/>
          <w:spacing w:val="-2"/>
          <w:lang w:eastAsia="en-GB"/>
        </w:rPr>
      </w:pPr>
      <w:r w:rsidRPr="004442A4">
        <w:rPr>
          <w:rFonts w:eastAsia="Times New Roman" w:cstheme="minorHAnsi"/>
          <w:color w:val="000000"/>
          <w:spacing w:val="-2"/>
          <w:lang w:eastAsia="en-GB"/>
        </w:rPr>
        <w:t xml:space="preserve">Please contact </w:t>
      </w:r>
      <w:r w:rsidR="007675EC" w:rsidRPr="004442A4">
        <w:rPr>
          <w:rFonts w:eastAsia="Times New Roman" w:cstheme="minorHAnsi"/>
          <w:color w:val="000000"/>
          <w:spacing w:val="-2"/>
          <w:lang w:eastAsia="en-GB"/>
        </w:rPr>
        <w:t xml:space="preserve">the </w:t>
      </w:r>
      <w:r w:rsidR="005177B0" w:rsidRPr="004442A4">
        <w:rPr>
          <w:rFonts w:eastAsia="Times New Roman" w:cstheme="minorHAnsi"/>
          <w:color w:val="000000"/>
          <w:spacing w:val="-2"/>
          <w:lang w:eastAsia="en-GB"/>
        </w:rPr>
        <w:t>company</w:t>
      </w:r>
      <w:r w:rsidR="007F3B4B" w:rsidRPr="004442A4">
        <w:rPr>
          <w:rFonts w:eastAsia="Times New Roman" w:cstheme="minorHAnsi"/>
          <w:color w:val="000000"/>
          <w:spacing w:val="-2"/>
          <w:lang w:eastAsia="en-GB"/>
        </w:rPr>
        <w:t xml:space="preserve"> Data Protection Officer, Tara </w:t>
      </w:r>
      <w:r w:rsidR="007675EC" w:rsidRPr="004442A4">
        <w:rPr>
          <w:rFonts w:eastAsia="Times New Roman" w:cstheme="minorHAnsi"/>
          <w:color w:val="000000"/>
          <w:spacing w:val="-2"/>
          <w:lang w:eastAsia="en-GB"/>
        </w:rPr>
        <w:t>Moylan,</w:t>
      </w:r>
      <w:r w:rsidR="007F3B4B" w:rsidRPr="004442A4">
        <w:rPr>
          <w:rFonts w:eastAsia="Times New Roman" w:cstheme="minorHAnsi"/>
          <w:color w:val="000000"/>
          <w:spacing w:val="-2"/>
          <w:lang w:eastAsia="en-GB"/>
        </w:rPr>
        <w:t xml:space="preserve"> Howbeck Healthcare at </w:t>
      </w:r>
      <w:hyperlink r:id="rId8" w:history="1">
        <w:r w:rsidR="007F3B4B" w:rsidRPr="004442A4">
          <w:rPr>
            <w:rStyle w:val="Hyperlink"/>
            <w:rFonts w:eastAsia="Times New Roman" w:cstheme="minorHAnsi"/>
            <w:spacing w:val="-2"/>
            <w:lang w:eastAsia="en-GB"/>
          </w:rPr>
          <w:t>DPO.Healthcare@nhs.net</w:t>
        </w:r>
      </w:hyperlink>
    </w:p>
    <w:p w14:paraId="5CEB8B1A" w14:textId="77777777" w:rsidR="008867D1" w:rsidRPr="004442A4" w:rsidRDefault="008867D1" w:rsidP="00CB4B65">
      <w:pPr>
        <w:spacing w:after="0" w:line="240" w:lineRule="auto"/>
        <w:ind w:left="360"/>
        <w:jc w:val="both"/>
        <w:rPr>
          <w:rFonts w:eastAsia="Arial" w:cstheme="minorHAnsi"/>
          <w:spacing w:val="-2"/>
        </w:rPr>
      </w:pPr>
    </w:p>
    <w:p w14:paraId="5CEB8B1B" w14:textId="77777777" w:rsidR="007F3B4B" w:rsidRPr="004442A4" w:rsidRDefault="007F3B4B" w:rsidP="00CB4B65">
      <w:pPr>
        <w:spacing w:after="0" w:line="240" w:lineRule="auto"/>
        <w:ind w:left="360"/>
        <w:jc w:val="both"/>
        <w:rPr>
          <w:rFonts w:eastAsia="Arial" w:cstheme="minorHAnsi"/>
          <w:spacing w:val="-2"/>
        </w:rPr>
      </w:pPr>
      <w:r w:rsidRPr="004442A4">
        <w:rPr>
          <w:rFonts w:eastAsia="Arial" w:cstheme="minorHAnsi"/>
          <w:spacing w:val="-2"/>
        </w:rPr>
        <w:t xml:space="preserve">If the patient further disputes the accuracy once a decision has been made they will be referred to the complaints procedure and/or the Health Ombudsmen. </w:t>
      </w:r>
    </w:p>
    <w:p w14:paraId="5CEB8B1C" w14:textId="77777777" w:rsidR="009826D8" w:rsidRPr="00913B09" w:rsidRDefault="009826D8" w:rsidP="00566B52">
      <w:pPr>
        <w:spacing w:after="0" w:line="240" w:lineRule="auto"/>
        <w:jc w:val="both"/>
        <w:rPr>
          <w:rFonts w:eastAsia="Arial" w:cstheme="minorHAnsi"/>
          <w:color w:val="000000"/>
          <w:spacing w:val="-2"/>
          <w:sz w:val="24"/>
          <w:szCs w:val="24"/>
        </w:rPr>
      </w:pPr>
    </w:p>
    <w:p w14:paraId="5CEB8B1D" w14:textId="77777777" w:rsidR="00E85963" w:rsidRPr="00913B09" w:rsidRDefault="00E85963" w:rsidP="002B108B">
      <w:pPr>
        <w:pStyle w:val="Style3"/>
      </w:pPr>
      <w:r w:rsidRPr="00913B09">
        <w:t>Complaints</w:t>
      </w:r>
    </w:p>
    <w:p w14:paraId="5CEB8B20" w14:textId="5FC508C6" w:rsidR="00E85963" w:rsidRPr="004442A4" w:rsidRDefault="00E85963" w:rsidP="004442A4">
      <w:pPr>
        <w:spacing w:after="120" w:line="240" w:lineRule="auto"/>
        <w:ind w:left="357"/>
        <w:jc w:val="both"/>
        <w:rPr>
          <w:rFonts w:eastAsia="Arial" w:cstheme="minorHAnsi"/>
          <w:color w:val="000000"/>
          <w:spacing w:val="-2"/>
        </w:rPr>
      </w:pPr>
      <w:r w:rsidRPr="004442A4">
        <w:rPr>
          <w:rFonts w:eastAsia="Arial" w:cstheme="minorHAnsi"/>
          <w:color w:val="000000"/>
          <w:spacing w:val="-2"/>
        </w:rPr>
        <w:t xml:space="preserve">The </w:t>
      </w:r>
      <w:r w:rsidR="005177B0" w:rsidRPr="004442A4">
        <w:rPr>
          <w:rFonts w:eastAsia="Arial" w:cstheme="minorHAnsi"/>
          <w:color w:val="000000"/>
          <w:spacing w:val="-2"/>
        </w:rPr>
        <w:t>company</w:t>
      </w:r>
      <w:r w:rsidRPr="004442A4">
        <w:rPr>
          <w:rFonts w:eastAsia="Arial" w:cstheme="minorHAnsi"/>
          <w:color w:val="000000"/>
          <w:spacing w:val="-2"/>
        </w:rPr>
        <w:t xml:space="preserve"> has procedures in place to enable complaints about access to health records requests to be addressed.</w:t>
      </w:r>
      <w:r w:rsidR="00ED1032" w:rsidRPr="004442A4">
        <w:rPr>
          <w:rFonts w:eastAsia="Arial" w:cstheme="minorHAnsi"/>
          <w:color w:val="000000"/>
          <w:spacing w:val="-2"/>
        </w:rPr>
        <w:t xml:space="preserve">  </w:t>
      </w:r>
      <w:r w:rsidRPr="004442A4">
        <w:rPr>
          <w:rFonts w:eastAsia="Arial" w:cstheme="minorHAnsi"/>
          <w:color w:val="000000"/>
          <w:spacing w:val="-2"/>
        </w:rPr>
        <w:t xml:space="preserve">Please refer to our </w:t>
      </w:r>
      <w:r w:rsidR="005177B0" w:rsidRPr="004442A4">
        <w:rPr>
          <w:rFonts w:eastAsia="Arial" w:cstheme="minorHAnsi"/>
          <w:color w:val="000000"/>
          <w:spacing w:val="-2"/>
        </w:rPr>
        <w:t>company</w:t>
      </w:r>
      <w:r w:rsidRPr="004442A4">
        <w:rPr>
          <w:rFonts w:eastAsia="Arial" w:cstheme="minorHAnsi"/>
          <w:color w:val="000000"/>
          <w:spacing w:val="-2"/>
        </w:rPr>
        <w:t xml:space="preserve"> complaints policy. </w:t>
      </w:r>
    </w:p>
    <w:p w14:paraId="5CEB8B22" w14:textId="6330F9C5" w:rsidR="00E85963" w:rsidRPr="004442A4" w:rsidRDefault="00E85963" w:rsidP="004442A4">
      <w:pPr>
        <w:spacing w:after="120" w:line="240" w:lineRule="auto"/>
        <w:ind w:left="357"/>
        <w:rPr>
          <w:rFonts w:eastAsia="Arial" w:cstheme="minorHAnsi"/>
          <w:spacing w:val="-2"/>
        </w:rPr>
      </w:pPr>
      <w:r w:rsidRPr="004442A4">
        <w:rPr>
          <w:rFonts w:eastAsia="Arial" w:cstheme="minorHAnsi"/>
          <w:color w:val="000000"/>
          <w:spacing w:val="-2"/>
        </w:rPr>
        <w:t xml:space="preserve">All complaints about Access to Records should </w:t>
      </w:r>
      <w:r w:rsidRPr="004442A4">
        <w:rPr>
          <w:rFonts w:eastAsia="Times New Roman" w:cstheme="minorHAnsi"/>
          <w:color w:val="000000"/>
          <w:spacing w:val="-2"/>
          <w:lang w:eastAsia="en-GB"/>
        </w:rPr>
        <w:t xml:space="preserve">be referred to the </w:t>
      </w:r>
      <w:r w:rsidR="00D16326">
        <w:rPr>
          <w:rFonts w:eastAsia="Times New Roman" w:cstheme="minorHAnsi"/>
          <w:color w:val="000000"/>
          <w:spacing w:val="-2"/>
          <w:lang w:eastAsia="en-GB"/>
        </w:rPr>
        <w:t>Service</w:t>
      </w:r>
      <w:r w:rsidRPr="004442A4">
        <w:rPr>
          <w:rFonts w:eastAsia="Times New Roman" w:cstheme="minorHAnsi"/>
          <w:color w:val="000000"/>
          <w:spacing w:val="-2"/>
          <w:lang w:eastAsia="en-GB"/>
        </w:rPr>
        <w:t xml:space="preserve"> Manager in the first instance or Data Protection Officer, Tara Moylan, Howbeck Healthcare on </w:t>
      </w:r>
      <w:hyperlink r:id="rId9" w:history="1">
        <w:r w:rsidRPr="004442A4">
          <w:rPr>
            <w:rStyle w:val="Hyperlink"/>
            <w:rFonts w:eastAsia="Times New Roman" w:cstheme="minorHAnsi"/>
            <w:spacing w:val="-2"/>
            <w:lang w:eastAsia="en-GB"/>
          </w:rPr>
          <w:t>DPO.healthcare@nhs.net</w:t>
        </w:r>
      </w:hyperlink>
      <w:r w:rsidRPr="004442A4">
        <w:rPr>
          <w:rFonts w:eastAsia="Times New Roman" w:cstheme="minorHAnsi"/>
          <w:color w:val="000000"/>
          <w:spacing w:val="-2"/>
          <w:lang w:eastAsia="en-GB"/>
        </w:rPr>
        <w:t xml:space="preserve"> </w:t>
      </w:r>
      <w:r w:rsidR="003E2DC4" w:rsidRPr="004442A4">
        <w:rPr>
          <w:rFonts w:eastAsia="Times New Roman" w:cstheme="minorHAnsi"/>
          <w:color w:val="000000"/>
          <w:spacing w:val="-2"/>
          <w:lang w:eastAsia="en-GB"/>
        </w:rPr>
        <w:t>or 01270 275217</w:t>
      </w:r>
    </w:p>
    <w:p w14:paraId="42972CF4" w14:textId="50C10AA8" w:rsidR="00655DEB" w:rsidRDefault="00E85963" w:rsidP="00655DEB">
      <w:pPr>
        <w:spacing w:after="120" w:line="240" w:lineRule="auto"/>
        <w:ind w:left="357"/>
        <w:jc w:val="both"/>
        <w:rPr>
          <w:rFonts w:eastAsia="Arial" w:cstheme="minorHAnsi"/>
          <w:color w:val="000000"/>
          <w:spacing w:val="-2"/>
        </w:rPr>
      </w:pPr>
      <w:r w:rsidRPr="004442A4">
        <w:rPr>
          <w:rFonts w:eastAsia="Arial" w:cstheme="minorHAnsi"/>
          <w:color w:val="000000"/>
          <w:spacing w:val="-2"/>
        </w:rPr>
        <w:t>If the patient wishes to make a further compl</w:t>
      </w:r>
      <w:r w:rsidR="000F51FB" w:rsidRPr="004442A4">
        <w:rPr>
          <w:rFonts w:eastAsia="Arial" w:cstheme="minorHAnsi"/>
          <w:color w:val="000000"/>
          <w:spacing w:val="-2"/>
        </w:rPr>
        <w:t>ai</w:t>
      </w:r>
      <w:r w:rsidRPr="004442A4">
        <w:rPr>
          <w:rFonts w:eastAsia="Arial" w:cstheme="minorHAnsi"/>
          <w:color w:val="000000"/>
          <w:spacing w:val="-2"/>
        </w:rPr>
        <w:t xml:space="preserve">nt, they have the right to do so and should be informed of the NHS complaints procedure. </w:t>
      </w:r>
      <w:r w:rsidR="00ED13D2">
        <w:rPr>
          <w:rFonts w:eastAsia="Arial" w:cstheme="minorHAnsi"/>
          <w:color w:val="000000"/>
          <w:spacing w:val="-2"/>
        </w:rPr>
        <w:t>[</w:t>
      </w:r>
      <w:r w:rsidR="00FC7BA4">
        <w:rPr>
          <w:rFonts w:eastAsia="Arial" w:cstheme="minorHAnsi"/>
          <w:color w:val="000000"/>
          <w:spacing w:val="-2"/>
        </w:rPr>
        <w:t xml:space="preserve">Company </w:t>
      </w:r>
      <w:r w:rsidR="008A0874">
        <w:rPr>
          <w:rFonts w:eastAsia="Arial" w:cstheme="minorHAnsi"/>
          <w:color w:val="000000"/>
          <w:spacing w:val="-2"/>
        </w:rPr>
        <w:t xml:space="preserve">Complaints </w:t>
      </w:r>
      <w:r w:rsidR="00FC7BA4">
        <w:rPr>
          <w:rFonts w:eastAsia="Arial" w:cstheme="minorHAnsi"/>
          <w:color w:val="000000"/>
          <w:spacing w:val="-2"/>
        </w:rPr>
        <w:t xml:space="preserve">policy number </w:t>
      </w:r>
      <w:r w:rsidR="00ED13D2">
        <w:rPr>
          <w:rFonts w:eastAsia="Arial" w:cstheme="minorHAnsi"/>
          <w:color w:val="000000"/>
          <w:spacing w:val="-2"/>
        </w:rPr>
        <w:t xml:space="preserve">08(a) – available on </w:t>
      </w:r>
      <w:r w:rsidR="0044139F">
        <w:rPr>
          <w:rFonts w:eastAsia="Arial" w:cstheme="minorHAnsi"/>
          <w:color w:val="000000"/>
          <w:spacing w:val="-2"/>
        </w:rPr>
        <w:t xml:space="preserve">the </w:t>
      </w:r>
      <w:r w:rsidR="00ED13D2">
        <w:rPr>
          <w:rFonts w:eastAsia="Arial" w:cstheme="minorHAnsi"/>
          <w:color w:val="000000"/>
          <w:spacing w:val="-2"/>
        </w:rPr>
        <w:t>GPTN Service Policy page]</w:t>
      </w:r>
      <w:r w:rsidR="00655DEB">
        <w:rPr>
          <w:rFonts w:eastAsia="Arial" w:cstheme="minorHAnsi"/>
          <w:color w:val="000000"/>
          <w:spacing w:val="-2"/>
        </w:rPr>
        <w:t xml:space="preserve"> </w:t>
      </w:r>
    </w:p>
    <w:p w14:paraId="0A4CCABD" w14:textId="77777777" w:rsidR="00655DEB" w:rsidRDefault="006F7810" w:rsidP="00655DEB">
      <w:pPr>
        <w:spacing w:after="120" w:line="240" w:lineRule="auto"/>
        <w:ind w:left="357"/>
        <w:jc w:val="both"/>
        <w:rPr>
          <w:rFonts w:eastAsia="Arial" w:cstheme="minorHAnsi"/>
          <w:color w:val="000000"/>
          <w:spacing w:val="-2"/>
        </w:rPr>
      </w:pPr>
      <w:hyperlink r:id="rId10" w:anchor="how-to-make-a-complaint" w:history="1">
        <w:r w:rsidR="00157B69" w:rsidRPr="003C7513">
          <w:rPr>
            <w:rStyle w:val="Hyperlink"/>
            <w:rFonts w:eastAsia="Arial" w:cstheme="minorHAnsi"/>
            <w:spacing w:val="-2"/>
          </w:rPr>
          <w:t>NHS Complaints Procedure</w:t>
        </w:r>
      </w:hyperlink>
      <w:r w:rsidR="00655DEB">
        <w:rPr>
          <w:rStyle w:val="Hyperlink"/>
          <w:rFonts w:eastAsia="Arial" w:cstheme="minorHAnsi"/>
          <w:spacing w:val="-2"/>
        </w:rPr>
        <w:t xml:space="preserve">  </w:t>
      </w:r>
      <w:r w:rsidR="00E22D11" w:rsidRPr="003C7513">
        <w:rPr>
          <w:rFonts w:eastAsia="Arial" w:cstheme="minorHAnsi"/>
          <w:color w:val="000000"/>
          <w:spacing w:val="-2"/>
        </w:rPr>
        <w:t>o</w:t>
      </w:r>
      <w:r w:rsidR="00E85963" w:rsidRPr="003C7513">
        <w:rPr>
          <w:rFonts w:eastAsia="Arial" w:cstheme="minorHAnsi"/>
          <w:color w:val="000000"/>
          <w:spacing w:val="-2"/>
        </w:rPr>
        <w:t>r</w:t>
      </w:r>
      <w:r w:rsidR="00655DEB">
        <w:rPr>
          <w:rFonts w:eastAsia="Arial" w:cstheme="minorHAnsi"/>
          <w:color w:val="000000"/>
          <w:spacing w:val="-2"/>
        </w:rPr>
        <w:t xml:space="preserve"> </w:t>
      </w:r>
    </w:p>
    <w:p w14:paraId="5CEB8B2B" w14:textId="3CA46894" w:rsidR="007675EC" w:rsidRPr="003C7513" w:rsidRDefault="006F7810" w:rsidP="00655DEB">
      <w:pPr>
        <w:spacing w:after="120" w:line="240" w:lineRule="auto"/>
        <w:ind w:left="357"/>
        <w:jc w:val="both"/>
        <w:rPr>
          <w:rFonts w:eastAsia="Arial" w:cstheme="minorHAnsi"/>
          <w:color w:val="000000"/>
          <w:spacing w:val="-2"/>
        </w:rPr>
      </w:pPr>
      <w:hyperlink r:id="rId11" w:history="1">
        <w:r w:rsidR="00E46D65" w:rsidRPr="003C7513">
          <w:rPr>
            <w:rStyle w:val="Hyperlink"/>
          </w:rPr>
          <w:t>ICO - your personal information concerns</w:t>
        </w:r>
      </w:hyperlink>
      <w:r w:rsidR="00655DEB">
        <w:rPr>
          <w:rStyle w:val="Hyperlink"/>
        </w:rPr>
        <w:t xml:space="preserve"> </w:t>
      </w:r>
      <w:r w:rsidR="007675EC" w:rsidRPr="003C7513">
        <w:rPr>
          <w:rFonts w:eastAsia="Arial" w:cstheme="minorHAnsi"/>
          <w:color w:val="000000"/>
          <w:spacing w:val="-2"/>
        </w:rPr>
        <w:t xml:space="preserve">or </w:t>
      </w:r>
    </w:p>
    <w:p w14:paraId="5CEB8B2C" w14:textId="77777777" w:rsidR="00360617" w:rsidRPr="003C7513" w:rsidRDefault="007675EC" w:rsidP="00D63B23">
      <w:pPr>
        <w:spacing w:after="120" w:line="240" w:lineRule="auto"/>
        <w:ind w:left="284"/>
        <w:jc w:val="both"/>
        <w:rPr>
          <w:rFonts w:eastAsia="Arial" w:cstheme="minorHAnsi"/>
          <w:color w:val="000000"/>
          <w:spacing w:val="-2"/>
        </w:rPr>
      </w:pPr>
      <w:r w:rsidRPr="003C7513">
        <w:rPr>
          <w:rFonts w:eastAsia="Arial" w:cstheme="minorHAnsi"/>
          <w:color w:val="000000"/>
          <w:spacing w:val="-2"/>
        </w:rPr>
        <w:t>Sometimes the patient may wish to seek independent Legal advice from a Solicitor</w:t>
      </w:r>
      <w:r w:rsidR="00DE32DD" w:rsidRPr="003C7513">
        <w:rPr>
          <w:rFonts w:eastAsia="Arial" w:cstheme="minorHAnsi"/>
          <w:color w:val="000000"/>
          <w:spacing w:val="-2"/>
        </w:rPr>
        <w:t>.</w:t>
      </w:r>
    </w:p>
    <w:p w14:paraId="5CEB8B2D" w14:textId="77777777" w:rsidR="00360617" w:rsidRPr="003C7513" w:rsidRDefault="00360617" w:rsidP="003C7513">
      <w:pPr>
        <w:spacing w:after="120" w:line="240" w:lineRule="auto"/>
        <w:ind w:left="363"/>
        <w:jc w:val="both"/>
        <w:rPr>
          <w:rFonts w:eastAsia="Arial" w:cstheme="minorHAnsi"/>
          <w:color w:val="000000"/>
          <w:spacing w:val="-2"/>
        </w:rPr>
      </w:pPr>
    </w:p>
    <w:p w14:paraId="5CEB8B2E" w14:textId="77777777" w:rsidR="00566B52" w:rsidRPr="00913B09" w:rsidRDefault="00566B52" w:rsidP="002B108B">
      <w:pPr>
        <w:pStyle w:val="Style3"/>
      </w:pPr>
      <w:r w:rsidRPr="00913B09">
        <w:lastRenderedPageBreak/>
        <w:t xml:space="preserve"> Application Length</w:t>
      </w:r>
    </w:p>
    <w:p w14:paraId="5CEB8B30" w14:textId="77777777" w:rsidR="00566B52" w:rsidRPr="003C7513" w:rsidRDefault="00566B52" w:rsidP="00CB4B65">
      <w:pPr>
        <w:spacing w:after="0" w:line="240" w:lineRule="auto"/>
        <w:ind w:left="426"/>
        <w:jc w:val="both"/>
        <w:rPr>
          <w:rFonts w:eastAsia="Arial" w:cstheme="minorHAnsi"/>
          <w:color w:val="000000"/>
          <w:spacing w:val="-2"/>
        </w:rPr>
      </w:pPr>
      <w:r w:rsidRPr="003C7513">
        <w:rPr>
          <w:rFonts w:eastAsia="Arial" w:cstheme="minorHAnsi"/>
          <w:color w:val="000000"/>
          <w:spacing w:val="-2"/>
        </w:rPr>
        <w:t xml:space="preserve">Requests for health records information should be fulfilled within </w:t>
      </w:r>
      <w:r w:rsidR="00ED1032" w:rsidRPr="003C7513">
        <w:rPr>
          <w:rFonts w:eastAsia="Arial" w:cstheme="minorHAnsi"/>
          <w:color w:val="000000"/>
          <w:spacing w:val="-2"/>
        </w:rPr>
        <w:t>one</w:t>
      </w:r>
      <w:r w:rsidRPr="003C7513">
        <w:rPr>
          <w:rFonts w:eastAsia="Arial" w:cstheme="minorHAnsi"/>
          <w:color w:val="000000"/>
          <w:spacing w:val="-2"/>
        </w:rPr>
        <w:t xml:space="preserve"> month (unless under exceptional circumstances – the applicant must be informed where a longer period is required - up to </w:t>
      </w:r>
      <w:r w:rsidR="00ED1032" w:rsidRPr="003C7513">
        <w:rPr>
          <w:rFonts w:eastAsia="Arial" w:cstheme="minorHAnsi"/>
          <w:color w:val="000000"/>
          <w:spacing w:val="-2"/>
        </w:rPr>
        <w:t>two</w:t>
      </w:r>
      <w:r w:rsidRPr="003C7513">
        <w:rPr>
          <w:rFonts w:eastAsia="Arial" w:cstheme="minorHAnsi"/>
          <w:color w:val="000000"/>
          <w:spacing w:val="-2"/>
        </w:rPr>
        <w:t xml:space="preserve"> months extension can be requested – but must be requested from the patient within the first month). Information given should be in a manner that is intelligible to the individual.</w:t>
      </w:r>
    </w:p>
    <w:p w14:paraId="5CEB8B31" w14:textId="77777777" w:rsidR="00566B52" w:rsidRPr="003C7513" w:rsidRDefault="00566B52" w:rsidP="00CB4B65">
      <w:pPr>
        <w:spacing w:after="0" w:line="240" w:lineRule="auto"/>
        <w:ind w:left="426"/>
        <w:jc w:val="both"/>
        <w:rPr>
          <w:rFonts w:eastAsia="Arial" w:cstheme="minorHAnsi"/>
          <w:color w:val="000000"/>
          <w:spacing w:val="-2"/>
        </w:rPr>
      </w:pPr>
    </w:p>
    <w:p w14:paraId="6DE6E001" w14:textId="77777777" w:rsidR="00D63B23" w:rsidRDefault="00566B52" w:rsidP="00DE32DD">
      <w:pPr>
        <w:spacing w:after="0" w:line="240" w:lineRule="auto"/>
        <w:ind w:left="426"/>
        <w:jc w:val="both"/>
        <w:rPr>
          <w:rFonts w:eastAsia="MS Mincho" w:cstheme="minorHAnsi"/>
          <w:sz w:val="24"/>
          <w:szCs w:val="24"/>
          <w:lang w:val="en-US"/>
        </w:rPr>
      </w:pPr>
      <w:r w:rsidRPr="003C7513">
        <w:rPr>
          <w:rFonts w:eastAsia="MS Mincho" w:cstheme="minorHAnsi"/>
          <w:lang w:val="en-US"/>
        </w:rPr>
        <w:t xml:space="preserve">Due to the time required to process requests for Detailed Coded Records Access each </w:t>
      </w:r>
      <w:r w:rsidR="005177B0" w:rsidRPr="003C7513">
        <w:rPr>
          <w:rFonts w:eastAsia="MS Mincho" w:cstheme="minorHAnsi"/>
          <w:lang w:val="en-US"/>
        </w:rPr>
        <w:t>company</w:t>
      </w:r>
      <w:r w:rsidRPr="003C7513">
        <w:rPr>
          <w:rFonts w:eastAsia="MS Mincho" w:cstheme="minorHAnsi"/>
          <w:lang w:val="en-US"/>
        </w:rPr>
        <w:t xml:space="preserve"> will process applications within 28 working days from date of application. In some circumstances there may be a delay in access to records. Where a longer period is anticipated the patient </w:t>
      </w:r>
      <w:r w:rsidR="007675EC" w:rsidRPr="003C7513">
        <w:rPr>
          <w:rFonts w:eastAsia="MS Mincho" w:cstheme="minorHAnsi"/>
          <w:lang w:val="en-US"/>
        </w:rPr>
        <w:t xml:space="preserve">should </w:t>
      </w:r>
      <w:r w:rsidRPr="003C7513">
        <w:rPr>
          <w:rFonts w:eastAsia="MS Mincho" w:cstheme="minorHAnsi"/>
          <w:lang w:val="en-US"/>
        </w:rPr>
        <w:t>be informe</w:t>
      </w:r>
      <w:r w:rsidR="002B108B">
        <w:rPr>
          <w:rFonts w:eastAsia="MS Mincho" w:cstheme="minorHAnsi"/>
          <w:sz w:val="24"/>
          <w:szCs w:val="24"/>
          <w:lang w:val="en-US"/>
        </w:rPr>
        <w:t>d</w:t>
      </w:r>
      <w:r w:rsidR="00D63B23">
        <w:rPr>
          <w:rFonts w:eastAsia="MS Mincho" w:cstheme="minorHAnsi"/>
          <w:sz w:val="24"/>
          <w:szCs w:val="24"/>
          <w:lang w:val="en-US"/>
        </w:rPr>
        <w:t>.</w:t>
      </w:r>
    </w:p>
    <w:p w14:paraId="3D78B9C6" w14:textId="77777777" w:rsidR="00D63B23" w:rsidRDefault="00D63B23" w:rsidP="00DE32DD">
      <w:pPr>
        <w:spacing w:after="0" w:line="240" w:lineRule="auto"/>
        <w:ind w:left="426"/>
        <w:jc w:val="both"/>
        <w:rPr>
          <w:rFonts w:cstheme="minorHAnsi"/>
          <w:sz w:val="24"/>
          <w:szCs w:val="24"/>
        </w:rPr>
      </w:pPr>
    </w:p>
    <w:p w14:paraId="5CEB8B34" w14:textId="5A8CE7AA" w:rsidR="000D49A3" w:rsidRDefault="0001532D" w:rsidP="003C7513">
      <w:pPr>
        <w:pStyle w:val="Style1"/>
      </w:pPr>
      <w:r w:rsidRPr="003C7513">
        <w:t>FAQs</w:t>
      </w:r>
      <w:r w:rsidR="001E678A">
        <w:t>:</w:t>
      </w:r>
    </w:p>
    <w:p w14:paraId="3F20709C" w14:textId="77777777" w:rsidR="001E678A" w:rsidRPr="003C7513" w:rsidRDefault="001E678A" w:rsidP="003C7513">
      <w:pPr>
        <w:pStyle w:val="Style1"/>
      </w:pPr>
    </w:p>
    <w:p w14:paraId="5CEB8B36" w14:textId="3B452145" w:rsidR="0001532D" w:rsidRPr="003C7513" w:rsidRDefault="0001532D" w:rsidP="003C7513">
      <w:pPr>
        <w:pStyle w:val="Style5"/>
      </w:pPr>
      <w:r w:rsidRPr="003C7513">
        <w:t>What format should the response be provided in?</w:t>
      </w:r>
    </w:p>
    <w:p w14:paraId="5CEB8B37" w14:textId="77777777" w:rsidR="0001532D" w:rsidRPr="00913B09" w:rsidRDefault="0001532D" w:rsidP="0001532D">
      <w:pPr>
        <w:spacing w:after="0" w:line="240" w:lineRule="auto"/>
        <w:textAlignment w:val="baseline"/>
        <w:rPr>
          <w:rFonts w:eastAsia="Times New Roman" w:cstheme="minorHAnsi"/>
          <w:color w:val="000000"/>
          <w:spacing w:val="-2"/>
          <w:sz w:val="24"/>
          <w:szCs w:val="24"/>
          <w:lang w:eastAsia="en-GB"/>
        </w:rPr>
      </w:pPr>
      <w:r w:rsidRPr="00913B09">
        <w:rPr>
          <w:rFonts w:eastAsia="Times New Roman" w:cstheme="minorHAnsi"/>
          <w:color w:val="000000"/>
          <w:spacing w:val="-2"/>
          <w:sz w:val="24"/>
          <w:szCs w:val="24"/>
          <w:lang w:eastAsia="en-GB"/>
        </w:rPr>
        <w:t>Where a request is received by electronic means, unless otherwise stated by the data subject, the information must be provided in a commonly used electronic format.</w:t>
      </w:r>
    </w:p>
    <w:p w14:paraId="5CEB8B38" w14:textId="77777777" w:rsidR="0001532D" w:rsidRPr="00913B09" w:rsidRDefault="0001532D" w:rsidP="0001532D">
      <w:pPr>
        <w:spacing w:after="0" w:line="240" w:lineRule="auto"/>
        <w:textAlignment w:val="baseline"/>
        <w:rPr>
          <w:rFonts w:eastAsia="Times New Roman" w:cstheme="minorHAnsi"/>
          <w:color w:val="000000"/>
          <w:spacing w:val="-2"/>
          <w:sz w:val="24"/>
          <w:szCs w:val="24"/>
          <w:lang w:eastAsia="en-GB"/>
        </w:rPr>
      </w:pPr>
    </w:p>
    <w:p w14:paraId="5CEB8B39" w14:textId="77777777" w:rsidR="0001532D" w:rsidRPr="00913B09" w:rsidRDefault="0001532D" w:rsidP="003C7513">
      <w:pPr>
        <w:pStyle w:val="Style5"/>
        <w:rPr>
          <w:lang w:eastAsia="en-GB"/>
        </w:rPr>
      </w:pPr>
      <w:r w:rsidRPr="00913B09">
        <w:rPr>
          <w:lang w:eastAsia="en-GB"/>
        </w:rPr>
        <w:t>What are the penalties for non-compliance with the statutory timeframe?</w:t>
      </w:r>
    </w:p>
    <w:p w14:paraId="5CEB8B3B" w14:textId="77777777" w:rsidR="0001532D" w:rsidRPr="00913B09" w:rsidRDefault="0001532D" w:rsidP="0001532D">
      <w:pPr>
        <w:spacing w:after="0" w:line="240" w:lineRule="auto"/>
        <w:rPr>
          <w:rFonts w:eastAsia="Times New Roman" w:cstheme="minorHAnsi"/>
          <w:color w:val="000000"/>
          <w:spacing w:val="-2"/>
          <w:sz w:val="24"/>
          <w:szCs w:val="24"/>
          <w:lang w:eastAsia="en-GB"/>
        </w:rPr>
      </w:pPr>
      <w:r w:rsidRPr="00913B09">
        <w:rPr>
          <w:rFonts w:eastAsia="Times New Roman" w:cstheme="minorHAnsi"/>
          <w:color w:val="000000"/>
          <w:spacing w:val="-2"/>
          <w:sz w:val="24"/>
          <w:szCs w:val="24"/>
          <w:lang w:eastAsia="en-GB"/>
        </w:rPr>
        <w:t>The penalties are still at the discretion of the ICO.  However, for non-compliance the financial penalties are now much greater.  Depending on the severity of the infringement, this could be up to £17m approximately.</w:t>
      </w:r>
    </w:p>
    <w:p w14:paraId="5CEB8B3C" w14:textId="77777777" w:rsidR="007675EC" w:rsidRPr="00913B09" w:rsidRDefault="007675EC" w:rsidP="0001532D">
      <w:pPr>
        <w:spacing w:after="0" w:line="240" w:lineRule="auto"/>
        <w:textAlignment w:val="baseline"/>
        <w:rPr>
          <w:rFonts w:eastAsia="Times New Roman" w:cstheme="minorHAnsi"/>
          <w:b/>
          <w:color w:val="000000"/>
          <w:spacing w:val="-2"/>
          <w:sz w:val="24"/>
          <w:szCs w:val="24"/>
          <w:lang w:eastAsia="en-GB"/>
        </w:rPr>
      </w:pPr>
    </w:p>
    <w:p w14:paraId="5CEB8B3D" w14:textId="77777777" w:rsidR="0001532D" w:rsidRPr="00913B09" w:rsidRDefault="0001532D" w:rsidP="003C7513">
      <w:pPr>
        <w:pStyle w:val="Style5"/>
        <w:rPr>
          <w:lang w:eastAsia="en-GB"/>
        </w:rPr>
      </w:pPr>
      <w:r w:rsidRPr="00913B09">
        <w:rPr>
          <w:lang w:eastAsia="en-GB"/>
        </w:rPr>
        <w:t>What should you do if you identify that you have received a SAR?</w:t>
      </w:r>
    </w:p>
    <w:p w14:paraId="5CEB8B3E" w14:textId="2ADB20F5" w:rsidR="0001532D" w:rsidRPr="00913B09" w:rsidRDefault="0001532D" w:rsidP="003C7513">
      <w:pPr>
        <w:shd w:val="clear" w:color="auto" w:fill="FFFFFF"/>
        <w:spacing w:after="0" w:line="240" w:lineRule="auto"/>
        <w:rPr>
          <w:rFonts w:eastAsia="Times New Roman" w:cstheme="minorHAnsi"/>
          <w:color w:val="000000"/>
          <w:spacing w:val="-2"/>
          <w:sz w:val="24"/>
          <w:szCs w:val="24"/>
          <w:lang w:val="en" w:eastAsia="en-GB"/>
        </w:rPr>
      </w:pPr>
      <w:r w:rsidRPr="00913B09">
        <w:rPr>
          <w:rFonts w:eastAsia="Times New Roman" w:cstheme="minorHAnsi"/>
          <w:color w:val="000000"/>
          <w:spacing w:val="-2"/>
          <w:sz w:val="24"/>
          <w:szCs w:val="24"/>
          <w:lang w:val="en" w:eastAsia="en-GB"/>
        </w:rPr>
        <w:t xml:space="preserve">Incoming SARs should be passed on immediately to the </w:t>
      </w:r>
      <w:r w:rsidR="00704536">
        <w:rPr>
          <w:rFonts w:eastAsia="Times New Roman" w:cstheme="minorHAnsi"/>
          <w:color w:val="000000"/>
          <w:spacing w:val="-2"/>
          <w:sz w:val="24"/>
          <w:szCs w:val="24"/>
          <w:lang w:val="en" w:eastAsia="en-GB"/>
        </w:rPr>
        <w:t>Service</w:t>
      </w:r>
      <w:r w:rsidRPr="00913B09">
        <w:rPr>
          <w:rFonts w:eastAsia="Times New Roman" w:cstheme="minorHAnsi"/>
          <w:color w:val="000000"/>
          <w:spacing w:val="-2"/>
          <w:sz w:val="24"/>
          <w:szCs w:val="24"/>
          <w:lang w:val="en" w:eastAsia="en-GB"/>
        </w:rPr>
        <w:t xml:space="preserve"> Manager, where they will be logged, acknowledged, and processed.</w:t>
      </w:r>
    </w:p>
    <w:p w14:paraId="5CEB8B3F" w14:textId="77777777" w:rsidR="00E34194" w:rsidRPr="00913B09" w:rsidRDefault="00E34194" w:rsidP="00E34194">
      <w:pPr>
        <w:spacing w:after="0" w:line="240" w:lineRule="auto"/>
        <w:textAlignment w:val="baseline"/>
        <w:rPr>
          <w:rFonts w:eastAsia="Arial" w:cstheme="minorHAnsi"/>
          <w:color w:val="000000"/>
          <w:spacing w:val="-2"/>
          <w:sz w:val="24"/>
          <w:szCs w:val="24"/>
          <w:lang w:val="en"/>
        </w:rPr>
      </w:pPr>
      <w:r w:rsidRPr="00913B09">
        <w:rPr>
          <w:rFonts w:eastAsia="Arial" w:cstheme="minorHAnsi"/>
          <w:color w:val="000000"/>
          <w:spacing w:val="-2"/>
          <w:sz w:val="24"/>
          <w:szCs w:val="24"/>
          <w:lang w:val="en"/>
        </w:rPr>
        <w:t>If you receive a Subject Access Request, and records are altered with intent to prevent disclosure, this will be committing a criminal offence, and will be punishable by a fine.</w:t>
      </w:r>
    </w:p>
    <w:p w14:paraId="5CEB8B40" w14:textId="77777777" w:rsidR="00E34194" w:rsidRPr="00913B09" w:rsidRDefault="00E34194" w:rsidP="000D49A3">
      <w:pPr>
        <w:rPr>
          <w:rFonts w:cstheme="minorHAnsi"/>
          <w:b/>
          <w:sz w:val="24"/>
          <w:szCs w:val="24"/>
        </w:rPr>
      </w:pPr>
    </w:p>
    <w:p w14:paraId="5CEB8B41" w14:textId="77777777" w:rsidR="007675EC" w:rsidRPr="00913B09" w:rsidRDefault="007675EC" w:rsidP="003C7513">
      <w:pPr>
        <w:pStyle w:val="Style5"/>
      </w:pPr>
      <w:r w:rsidRPr="00913B09">
        <w:t>Additional Support and Documentation that may be of use:</w:t>
      </w:r>
    </w:p>
    <w:p w14:paraId="5CEB8B42" w14:textId="77777777" w:rsidR="006E1EB6" w:rsidRPr="00913B09" w:rsidRDefault="000D49A3" w:rsidP="000D49A3">
      <w:pPr>
        <w:rPr>
          <w:rFonts w:cstheme="minorHAnsi"/>
          <w:sz w:val="24"/>
          <w:szCs w:val="24"/>
        </w:rPr>
      </w:pPr>
      <w:r w:rsidRPr="00913B09">
        <w:rPr>
          <w:rFonts w:cstheme="minorHAnsi"/>
          <w:sz w:val="24"/>
          <w:szCs w:val="24"/>
        </w:rPr>
        <w:t xml:space="preserve">Promotional material for </w:t>
      </w:r>
      <w:r w:rsidR="005C5645" w:rsidRPr="00913B09">
        <w:rPr>
          <w:rFonts w:cstheme="minorHAnsi"/>
          <w:sz w:val="24"/>
          <w:szCs w:val="24"/>
        </w:rPr>
        <w:t>Detailed</w:t>
      </w:r>
      <w:r w:rsidRPr="00913B09">
        <w:rPr>
          <w:rFonts w:cstheme="minorHAnsi"/>
          <w:sz w:val="24"/>
          <w:szCs w:val="24"/>
        </w:rPr>
        <w:t xml:space="preserve"> patient record access:</w:t>
      </w:r>
    </w:p>
    <w:p w14:paraId="5CEB8B43" w14:textId="3CF57036" w:rsidR="000D49A3" w:rsidRPr="00913B09" w:rsidRDefault="006F7810" w:rsidP="000D49A3">
      <w:pPr>
        <w:rPr>
          <w:rFonts w:cstheme="minorHAnsi"/>
          <w:sz w:val="24"/>
          <w:szCs w:val="24"/>
        </w:rPr>
      </w:pPr>
      <w:hyperlink r:id="rId12" w:history="1">
        <w:r w:rsidR="006A2352">
          <w:rPr>
            <w:rStyle w:val="Hyperlink"/>
            <w:rFonts w:cstheme="minorHAnsi"/>
            <w:sz w:val="24"/>
            <w:szCs w:val="24"/>
          </w:rPr>
          <w:t>GP online services promotional toolkit</w:t>
        </w:r>
      </w:hyperlink>
    </w:p>
    <w:p w14:paraId="5CEB8B44" w14:textId="04083259" w:rsidR="005C5645" w:rsidRPr="00913B09" w:rsidRDefault="006F7810" w:rsidP="000D49A3">
      <w:pPr>
        <w:rPr>
          <w:rFonts w:cstheme="minorHAnsi"/>
          <w:sz w:val="24"/>
          <w:szCs w:val="24"/>
        </w:rPr>
      </w:pPr>
      <w:hyperlink r:id="rId13" w:history="1">
        <w:r w:rsidR="00A0687F">
          <w:rPr>
            <w:rStyle w:val="Hyperlink"/>
            <w:rFonts w:cstheme="minorHAnsi"/>
            <w:sz w:val="24"/>
            <w:szCs w:val="24"/>
          </w:rPr>
          <w:t>NHS England - Health Publications</w:t>
        </w:r>
      </w:hyperlink>
    </w:p>
    <w:p w14:paraId="5CEB8B48" w14:textId="77777777" w:rsidR="005C5645" w:rsidRPr="00913B09" w:rsidRDefault="00E34194" w:rsidP="003C7513">
      <w:pPr>
        <w:pStyle w:val="Style5"/>
      </w:pPr>
      <w:r w:rsidRPr="00913B09">
        <w:t>References used:</w:t>
      </w:r>
      <w:r w:rsidR="00A9040B" w:rsidRPr="00913B09">
        <w:t xml:space="preserve"> </w:t>
      </w:r>
    </w:p>
    <w:p w14:paraId="5CEB8B49" w14:textId="1BA895FF" w:rsidR="00E34194" w:rsidRPr="00913B09" w:rsidRDefault="00E34194" w:rsidP="00D63B23">
      <w:pPr>
        <w:spacing w:after="0"/>
        <w:rPr>
          <w:rFonts w:cstheme="minorHAnsi"/>
          <w:sz w:val="24"/>
          <w:szCs w:val="24"/>
        </w:rPr>
      </w:pPr>
      <w:r w:rsidRPr="00913B09">
        <w:rPr>
          <w:rFonts w:cstheme="minorHAnsi"/>
          <w:sz w:val="24"/>
          <w:szCs w:val="24"/>
        </w:rPr>
        <w:t>BMA – Access to Records</w:t>
      </w:r>
      <w:r w:rsidR="00D63B23">
        <w:rPr>
          <w:rFonts w:cstheme="minorHAnsi"/>
          <w:sz w:val="24"/>
          <w:szCs w:val="24"/>
        </w:rPr>
        <w:t xml:space="preserve">, </w:t>
      </w:r>
      <w:r w:rsidR="00D63B23">
        <w:rPr>
          <w:rFonts w:cstheme="minorHAnsi"/>
          <w:sz w:val="24"/>
          <w:szCs w:val="24"/>
        </w:rPr>
        <w:tab/>
      </w:r>
      <w:r w:rsidR="00D63B23">
        <w:rPr>
          <w:rFonts w:cstheme="minorHAnsi"/>
          <w:sz w:val="24"/>
          <w:szCs w:val="24"/>
        </w:rPr>
        <w:tab/>
      </w:r>
      <w:r w:rsidR="00D63B23">
        <w:rPr>
          <w:rFonts w:cstheme="minorHAnsi"/>
          <w:sz w:val="24"/>
          <w:szCs w:val="24"/>
        </w:rPr>
        <w:tab/>
      </w:r>
      <w:r w:rsidR="00D63B23">
        <w:rPr>
          <w:rFonts w:cstheme="minorHAnsi"/>
          <w:sz w:val="24"/>
          <w:szCs w:val="24"/>
        </w:rPr>
        <w:tab/>
      </w:r>
      <w:r w:rsidR="00A9040B" w:rsidRPr="00913B09">
        <w:rPr>
          <w:rFonts w:cstheme="minorHAnsi"/>
          <w:sz w:val="24"/>
          <w:szCs w:val="24"/>
        </w:rPr>
        <w:t>General Data Protection Regulations 2016</w:t>
      </w:r>
      <w:r w:rsidR="00DE32DD">
        <w:rPr>
          <w:rFonts w:cstheme="minorHAnsi"/>
          <w:sz w:val="24"/>
          <w:szCs w:val="24"/>
        </w:rPr>
        <w:tab/>
      </w:r>
    </w:p>
    <w:p w14:paraId="5CEB8B4A" w14:textId="77777777" w:rsidR="00E34194" w:rsidRPr="00913B09" w:rsidRDefault="00E34194" w:rsidP="00D63B23">
      <w:pPr>
        <w:spacing w:after="0"/>
        <w:rPr>
          <w:rFonts w:cstheme="minorHAnsi"/>
          <w:sz w:val="24"/>
          <w:szCs w:val="24"/>
        </w:rPr>
      </w:pPr>
      <w:r w:rsidRPr="00913B09">
        <w:rPr>
          <w:rFonts w:cstheme="minorHAnsi"/>
          <w:sz w:val="24"/>
          <w:szCs w:val="24"/>
        </w:rPr>
        <w:t>MDU – Right of Access to Clinical Records</w:t>
      </w:r>
      <w:r w:rsidR="00A9040B" w:rsidRPr="00913B09">
        <w:rPr>
          <w:rFonts w:cstheme="minorHAnsi"/>
          <w:sz w:val="24"/>
          <w:szCs w:val="24"/>
        </w:rPr>
        <w:tab/>
      </w:r>
      <w:r w:rsidR="00A9040B" w:rsidRPr="00913B09">
        <w:rPr>
          <w:rFonts w:cstheme="minorHAnsi"/>
          <w:sz w:val="24"/>
          <w:szCs w:val="24"/>
        </w:rPr>
        <w:tab/>
        <w:t>Data Protection Act 2018</w:t>
      </w:r>
    </w:p>
    <w:p w14:paraId="5CEB8B4B" w14:textId="77777777" w:rsidR="00E34194" w:rsidRPr="00913B09" w:rsidRDefault="00E34194" w:rsidP="00D63B23">
      <w:pPr>
        <w:spacing w:after="0"/>
        <w:rPr>
          <w:rFonts w:cstheme="minorHAnsi"/>
          <w:sz w:val="24"/>
          <w:szCs w:val="24"/>
        </w:rPr>
      </w:pPr>
      <w:r w:rsidRPr="00913B09">
        <w:rPr>
          <w:rFonts w:cstheme="minorHAnsi"/>
          <w:sz w:val="24"/>
          <w:szCs w:val="24"/>
        </w:rPr>
        <w:t>NHS England – Patient Online</w:t>
      </w:r>
      <w:r w:rsidR="00A9040B" w:rsidRPr="00913B09">
        <w:rPr>
          <w:rFonts w:cstheme="minorHAnsi"/>
          <w:sz w:val="24"/>
          <w:szCs w:val="24"/>
        </w:rPr>
        <w:tab/>
      </w:r>
      <w:r w:rsidR="00A9040B" w:rsidRPr="00913B09">
        <w:rPr>
          <w:rFonts w:cstheme="minorHAnsi"/>
          <w:sz w:val="24"/>
          <w:szCs w:val="24"/>
        </w:rPr>
        <w:tab/>
      </w:r>
      <w:r w:rsidR="00A9040B" w:rsidRPr="00913B09">
        <w:rPr>
          <w:rFonts w:cstheme="minorHAnsi"/>
          <w:sz w:val="24"/>
          <w:szCs w:val="24"/>
        </w:rPr>
        <w:tab/>
      </w:r>
      <w:r w:rsidR="00DE32DD">
        <w:rPr>
          <w:rFonts w:cstheme="minorHAnsi"/>
          <w:sz w:val="24"/>
          <w:szCs w:val="24"/>
        </w:rPr>
        <w:tab/>
      </w:r>
      <w:r w:rsidR="00A9040B" w:rsidRPr="00913B09">
        <w:rPr>
          <w:rFonts w:cstheme="minorHAnsi"/>
          <w:sz w:val="24"/>
          <w:szCs w:val="24"/>
        </w:rPr>
        <w:t>Access to Health Records 1990</w:t>
      </w:r>
    </w:p>
    <w:p w14:paraId="5CEB8B4C" w14:textId="7F262064" w:rsidR="00E34194" w:rsidRPr="00913B09" w:rsidRDefault="00E34194" w:rsidP="00D63B23">
      <w:pPr>
        <w:spacing w:after="0"/>
        <w:rPr>
          <w:rFonts w:cstheme="minorHAnsi"/>
          <w:sz w:val="24"/>
          <w:szCs w:val="24"/>
        </w:rPr>
      </w:pPr>
      <w:r w:rsidRPr="00913B09">
        <w:rPr>
          <w:rFonts w:cstheme="minorHAnsi"/>
          <w:sz w:val="24"/>
          <w:szCs w:val="24"/>
        </w:rPr>
        <w:t xml:space="preserve">NHS Digital – Records Management Code of </w:t>
      </w:r>
      <w:r w:rsidR="00815F87">
        <w:rPr>
          <w:rFonts w:cstheme="minorHAnsi"/>
          <w:sz w:val="24"/>
          <w:szCs w:val="24"/>
        </w:rPr>
        <w:t>Company Health</w:t>
      </w:r>
      <w:r w:rsidR="00A9040B" w:rsidRPr="00913B09">
        <w:rPr>
          <w:rFonts w:cstheme="minorHAnsi"/>
          <w:sz w:val="24"/>
          <w:szCs w:val="24"/>
        </w:rPr>
        <w:t xml:space="preserve"> &amp; Social Care Act 2016</w:t>
      </w:r>
    </w:p>
    <w:p w14:paraId="5CEB8B4D" w14:textId="77777777" w:rsidR="00E34194" w:rsidRPr="00913B09" w:rsidRDefault="00E34194" w:rsidP="00D63B23">
      <w:pPr>
        <w:spacing w:after="0"/>
        <w:rPr>
          <w:rFonts w:cstheme="minorHAnsi"/>
          <w:sz w:val="24"/>
          <w:szCs w:val="24"/>
        </w:rPr>
      </w:pPr>
      <w:r w:rsidRPr="00913B09">
        <w:rPr>
          <w:rFonts w:cstheme="minorHAnsi"/>
          <w:sz w:val="24"/>
          <w:szCs w:val="24"/>
        </w:rPr>
        <w:t>NHS Digital – Data Security and Information Governance</w:t>
      </w:r>
    </w:p>
    <w:p w14:paraId="5CEB8B4E" w14:textId="77777777" w:rsidR="00A9040B" w:rsidRPr="00913B09" w:rsidRDefault="00A9040B" w:rsidP="00D63B23">
      <w:pPr>
        <w:spacing w:after="0"/>
        <w:rPr>
          <w:rFonts w:cstheme="minorHAnsi"/>
          <w:sz w:val="24"/>
          <w:szCs w:val="24"/>
        </w:rPr>
      </w:pPr>
      <w:r w:rsidRPr="00913B09">
        <w:rPr>
          <w:rFonts w:cstheme="minorHAnsi"/>
          <w:sz w:val="24"/>
          <w:szCs w:val="24"/>
        </w:rPr>
        <w:t>NHS England – Identity Verification</w:t>
      </w:r>
    </w:p>
    <w:p w14:paraId="5CEB8B4F" w14:textId="76CC7927" w:rsidR="00A9040B" w:rsidRPr="00913B09" w:rsidRDefault="00A9040B" w:rsidP="00D63B23">
      <w:pPr>
        <w:spacing w:after="0"/>
        <w:rPr>
          <w:rFonts w:cstheme="minorHAnsi"/>
          <w:sz w:val="24"/>
          <w:szCs w:val="24"/>
        </w:rPr>
      </w:pPr>
      <w:r w:rsidRPr="00913B09">
        <w:rPr>
          <w:rFonts w:cstheme="minorHAnsi"/>
          <w:sz w:val="24"/>
          <w:szCs w:val="24"/>
        </w:rPr>
        <w:t>ICO – Your Data Matters</w:t>
      </w:r>
      <w:r w:rsidRPr="00913B09">
        <w:rPr>
          <w:rFonts w:cstheme="minorHAnsi"/>
          <w:sz w:val="24"/>
          <w:szCs w:val="24"/>
        </w:rPr>
        <w:tab/>
      </w:r>
      <w:r w:rsidRPr="00913B09">
        <w:rPr>
          <w:rFonts w:cstheme="minorHAnsi"/>
          <w:sz w:val="24"/>
          <w:szCs w:val="24"/>
        </w:rPr>
        <w:tab/>
      </w:r>
      <w:r w:rsidRPr="00913B09">
        <w:rPr>
          <w:rFonts w:cstheme="minorHAnsi"/>
          <w:sz w:val="24"/>
          <w:szCs w:val="24"/>
        </w:rPr>
        <w:tab/>
      </w:r>
      <w:r w:rsidR="008A0874">
        <w:rPr>
          <w:rFonts w:cstheme="minorHAnsi"/>
          <w:sz w:val="24"/>
          <w:szCs w:val="24"/>
        </w:rPr>
        <w:tab/>
      </w:r>
      <w:r w:rsidRPr="00913B09">
        <w:rPr>
          <w:rFonts w:cstheme="minorHAnsi"/>
          <w:sz w:val="24"/>
          <w:szCs w:val="24"/>
        </w:rPr>
        <w:t>ICO – GDPR – Right of Access</w:t>
      </w:r>
    </w:p>
    <w:p w14:paraId="5CEB8B50" w14:textId="1D50BC37" w:rsidR="005C5645" w:rsidRPr="00913B09" w:rsidRDefault="00A9040B" w:rsidP="00D63B23">
      <w:pPr>
        <w:spacing w:after="0"/>
        <w:rPr>
          <w:rFonts w:cstheme="minorHAnsi"/>
          <w:sz w:val="24"/>
          <w:szCs w:val="24"/>
        </w:rPr>
      </w:pPr>
      <w:r w:rsidRPr="00913B09">
        <w:rPr>
          <w:rFonts w:cstheme="minorHAnsi"/>
          <w:sz w:val="24"/>
          <w:szCs w:val="24"/>
        </w:rPr>
        <w:t>ICO – GDPR - Health &amp; Social Care</w:t>
      </w:r>
      <w:r w:rsidRPr="00913B09">
        <w:rPr>
          <w:rFonts w:cstheme="minorHAnsi"/>
          <w:sz w:val="24"/>
          <w:szCs w:val="24"/>
        </w:rPr>
        <w:tab/>
      </w:r>
      <w:r w:rsidRPr="00913B09">
        <w:rPr>
          <w:rFonts w:cstheme="minorHAnsi"/>
          <w:sz w:val="24"/>
          <w:szCs w:val="24"/>
        </w:rPr>
        <w:tab/>
      </w:r>
      <w:r w:rsidR="008A0874">
        <w:rPr>
          <w:rFonts w:cstheme="minorHAnsi"/>
          <w:sz w:val="24"/>
          <w:szCs w:val="24"/>
        </w:rPr>
        <w:tab/>
      </w:r>
      <w:r w:rsidRPr="00913B09">
        <w:rPr>
          <w:rFonts w:cstheme="minorHAnsi"/>
          <w:sz w:val="24"/>
          <w:szCs w:val="24"/>
        </w:rPr>
        <w:t>ICO – GDPR – Children &amp; the GDPR</w:t>
      </w:r>
    </w:p>
    <w:sectPr w:rsidR="005C5645" w:rsidRPr="00913B09" w:rsidSect="0033555A">
      <w:headerReference w:type="default" r:id="rId14"/>
      <w:footerReference w:type="default" r:id="rId15"/>
      <w:pgSz w:w="11906" w:h="16838" w:code="9"/>
      <w:pgMar w:top="431" w:right="1225" w:bottom="578" w:left="1298" w:header="0"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F0EC" w14:textId="77777777" w:rsidR="006F7810" w:rsidRDefault="006F7810">
      <w:pPr>
        <w:spacing w:after="0" w:line="240" w:lineRule="auto"/>
      </w:pPr>
      <w:r>
        <w:separator/>
      </w:r>
    </w:p>
  </w:endnote>
  <w:endnote w:type="continuationSeparator" w:id="0">
    <w:p w14:paraId="01CD72C0" w14:textId="77777777" w:rsidR="006F7810" w:rsidRDefault="006F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6644" w14:textId="67D3CBE8" w:rsidR="00B77207" w:rsidRPr="00572D9D" w:rsidRDefault="00B77207" w:rsidP="00B77207">
    <w:pPr>
      <w:pStyle w:val="Footer"/>
      <w:rPr>
        <w:rFonts w:ascii="Calibri" w:hAnsi="Calibri" w:cs="Calibri"/>
        <w:sz w:val="12"/>
        <w:szCs w:val="12"/>
      </w:rPr>
    </w:pPr>
    <w:r>
      <w:rPr>
        <w:rFonts w:ascii="Calibri" w:hAnsi="Calibri" w:cs="Calibri"/>
        <w:sz w:val="12"/>
        <w:szCs w:val="12"/>
      </w:rPr>
      <w:t>DSP Toolkit Assertion 1.</w:t>
    </w:r>
    <w:r w:rsidR="0062132B">
      <w:rPr>
        <w:rFonts w:ascii="Calibri" w:hAnsi="Calibri" w:cs="Calibri"/>
        <w:sz w:val="12"/>
        <w:szCs w:val="12"/>
      </w:rPr>
      <w:t>2.1</w:t>
    </w:r>
  </w:p>
  <w:sdt>
    <w:sdtPr>
      <w:id w:val="-906920203"/>
      <w:docPartObj>
        <w:docPartGallery w:val="Page Numbers (Bottom of Page)"/>
        <w:docPartUnique/>
      </w:docPartObj>
    </w:sdtPr>
    <w:sdtEndPr>
      <w:rPr>
        <w:noProof/>
      </w:rPr>
    </w:sdtEndPr>
    <w:sdtContent>
      <w:p w14:paraId="0197760D" w14:textId="68E47E23" w:rsidR="00B77207" w:rsidRDefault="00B772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CC6125" w14:textId="77777777" w:rsidR="001A0F1B" w:rsidRPr="006B42DB" w:rsidRDefault="001A0F1B" w:rsidP="006B42DB">
    <w:pPr>
      <w:pStyle w:val="Footer"/>
      <w:rPr>
        <w:rFonts w:ascii="Calibri" w:hAnsi="Calibri"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0474" w14:textId="77777777" w:rsidR="006F7810" w:rsidRDefault="006F7810">
      <w:pPr>
        <w:spacing w:after="0" w:line="240" w:lineRule="auto"/>
      </w:pPr>
      <w:r>
        <w:separator/>
      </w:r>
    </w:p>
  </w:footnote>
  <w:footnote w:type="continuationSeparator" w:id="0">
    <w:p w14:paraId="79A28DC0" w14:textId="77777777" w:rsidR="006F7810" w:rsidRDefault="006F7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8B55" w14:textId="77777777" w:rsidR="00E43095" w:rsidRDefault="00E43095" w:rsidP="00E43095">
    <w:pPr>
      <w:spacing w:after="0" w:line="240" w:lineRule="auto"/>
      <w:jc w:val="center"/>
      <w:outlineLvl w:val="0"/>
      <w:rPr>
        <w:rFonts w:ascii="Calibri" w:eastAsia="Arial" w:hAnsi="Calibri" w:cs="Arial"/>
        <w:color w:val="FF0000"/>
        <w:spacing w:val="-2"/>
        <w:sz w:val="24"/>
        <w:highlight w:val="yellow"/>
      </w:rPr>
    </w:pPr>
  </w:p>
  <w:p w14:paraId="3C800122" w14:textId="3DC751DE" w:rsidR="005E5657" w:rsidRDefault="005E5657" w:rsidP="005E5657">
    <w:pPr>
      <w:pStyle w:val="Header"/>
      <w:jc w:val="center"/>
      <w:rPr>
        <w:rFonts w:ascii="Arial" w:hAnsi="Arial" w:cs="Arial"/>
        <w:noProof/>
        <w:color w:val="7030A0"/>
        <w:lang w:eastAsia="en-GB"/>
      </w:rPr>
    </w:pPr>
    <w:bookmarkStart w:id="4" w:name="_Hlk497226319"/>
    <w:r>
      <w:rPr>
        <w:rFonts w:ascii="Arial" w:hAnsi="Arial" w:cs="Arial"/>
        <w:noProof/>
        <w:color w:val="7030A0"/>
        <w:lang w:eastAsia="en-GB"/>
      </w:rPr>
      <w:drawing>
        <wp:inline distT="0" distB="0" distL="0" distR="0" wp14:anchorId="3ABE95A7" wp14:editId="2A4F42ED">
          <wp:extent cx="7334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inline>
      </w:drawing>
    </w:r>
    <w:bookmarkEnd w:id="4"/>
  </w:p>
  <w:p w14:paraId="5CEB8B58" w14:textId="7194044F" w:rsidR="00185323" w:rsidRPr="005E5657" w:rsidRDefault="005E5657" w:rsidP="005E5657">
    <w:pPr>
      <w:pStyle w:val="Header"/>
      <w:jc w:val="center"/>
      <w:rPr>
        <w:rFonts w:ascii="Arial" w:hAnsi="Arial" w:cs="Arial"/>
      </w:rPr>
    </w:pPr>
    <w:bookmarkStart w:id="5" w:name="_Hlk497226346"/>
    <w:r w:rsidRPr="005E5657">
      <w:rPr>
        <w:rFonts w:ascii="Arial" w:hAnsi="Arial" w:cs="Arial"/>
        <w:color w:val="7030A0"/>
      </w:rPr>
      <w:t>Southport &amp; Formby</w:t>
    </w:r>
    <w:hyperlink r:id="rId2" w:tgtFrame="_self" w:history="1">
      <w:r w:rsidRPr="005E5657">
        <w:rPr>
          <w:rStyle w:val="Hyperlink"/>
          <w:rFonts w:ascii="Arial" w:hAnsi="Arial" w:cs="Arial"/>
          <w:u w:val="none"/>
        </w:rPr>
        <w:t> </w:t>
      </w:r>
      <w:r w:rsidRPr="005E5657">
        <w:rPr>
          <w:rStyle w:val="Hyperlink"/>
          <w:rFonts w:ascii="Arial" w:hAnsi="Arial" w:cs="Arial"/>
          <w:color w:val="19B02F"/>
          <w:u w:val="none"/>
        </w:rPr>
        <w:t>Health</w:t>
      </w:r>
    </w:hyperlink>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B6F"/>
    <w:multiLevelType w:val="multilevel"/>
    <w:tmpl w:val="8004B1D8"/>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5C62AB3"/>
    <w:multiLevelType w:val="hybridMultilevel"/>
    <w:tmpl w:val="940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72C8"/>
    <w:multiLevelType w:val="multilevel"/>
    <w:tmpl w:val="770EB722"/>
    <w:numStyleLink w:val="Bullet01"/>
  </w:abstractNum>
  <w:abstractNum w:abstractNumId="3" w15:restartNumberingAfterBreak="0">
    <w:nsid w:val="08D207E1"/>
    <w:multiLevelType w:val="multilevel"/>
    <w:tmpl w:val="0116F028"/>
    <w:lvl w:ilvl="0">
      <w:start w:val="1"/>
      <w:numFmt w:val="decimal"/>
      <w:lvlText w:val="%1."/>
      <w:lvlJc w:val="left"/>
      <w:pPr>
        <w:ind w:left="360" w:hanging="360"/>
      </w:pPr>
      <w:rPr>
        <w:rFonts w:hint="default"/>
        <w:b w:val="0"/>
        <w:color w:val="auto"/>
        <w:sz w:val="22"/>
        <w:szCs w:val="22"/>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7B3FB1"/>
    <w:multiLevelType w:val="multilevel"/>
    <w:tmpl w:val="770EB722"/>
    <w:styleLink w:val="Bullet01"/>
    <w:lvl w:ilvl="0">
      <w:start w:val="1"/>
      <w:numFmt w:val="bullet"/>
      <w:lvlText w:val=""/>
      <w:lvlJc w:val="left"/>
      <w:pPr>
        <w:tabs>
          <w:tab w:val="num" w:pos="720"/>
        </w:tabs>
        <w:ind w:left="720" w:hanging="360"/>
      </w:pPr>
      <w:rPr>
        <w:rFonts w:ascii="Symbol" w:hAnsi="Symbol"/>
        <w:color w:val="000000"/>
        <w:spacing w:val="-2"/>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4E2A24"/>
    <w:multiLevelType w:val="hybridMultilevel"/>
    <w:tmpl w:val="E970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10C24"/>
    <w:multiLevelType w:val="hybridMultilevel"/>
    <w:tmpl w:val="EF72852E"/>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7" w15:restartNumberingAfterBreak="0">
    <w:nsid w:val="21BE310F"/>
    <w:multiLevelType w:val="hybridMultilevel"/>
    <w:tmpl w:val="A672DC80"/>
    <w:lvl w:ilvl="0" w:tplc="A7A4DBEE">
      <w:start w:val="1"/>
      <w:numFmt w:val="decimal"/>
      <w:pStyle w:val="Sty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26A02"/>
    <w:multiLevelType w:val="multilevel"/>
    <w:tmpl w:val="4BF20412"/>
    <w:lvl w:ilvl="0">
      <w:start w:val="1"/>
      <w:numFmt w:val="decimal"/>
      <w:lvlText w:val="%1."/>
      <w:lvlJc w:val="left"/>
      <w:pPr>
        <w:ind w:left="360" w:hanging="360"/>
      </w:pPr>
      <w:rPr>
        <w:rFonts w:hint="default"/>
        <w:b/>
        <w:color w:val="auto"/>
        <w:sz w:val="22"/>
        <w:szCs w:val="22"/>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4E6D04"/>
    <w:multiLevelType w:val="hybridMultilevel"/>
    <w:tmpl w:val="F956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F680E"/>
    <w:multiLevelType w:val="multilevel"/>
    <w:tmpl w:val="0116F028"/>
    <w:lvl w:ilvl="0">
      <w:start w:val="1"/>
      <w:numFmt w:val="decimal"/>
      <w:lvlText w:val="%1."/>
      <w:lvlJc w:val="left"/>
      <w:pPr>
        <w:ind w:left="360" w:hanging="360"/>
      </w:pPr>
      <w:rPr>
        <w:rFonts w:hint="default"/>
        <w:b w:val="0"/>
        <w:color w:val="auto"/>
        <w:sz w:val="22"/>
        <w:szCs w:val="22"/>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AE18DD"/>
    <w:multiLevelType w:val="hybridMultilevel"/>
    <w:tmpl w:val="F2D4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B6195"/>
    <w:multiLevelType w:val="hybridMultilevel"/>
    <w:tmpl w:val="96BAFC3E"/>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3" w15:restartNumberingAfterBreak="0">
    <w:nsid w:val="3C4028D2"/>
    <w:multiLevelType w:val="hybridMultilevel"/>
    <w:tmpl w:val="86304B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4D2410"/>
    <w:multiLevelType w:val="hybridMultilevel"/>
    <w:tmpl w:val="5E70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D2037"/>
    <w:multiLevelType w:val="hybridMultilevel"/>
    <w:tmpl w:val="2C5C0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BA7292"/>
    <w:multiLevelType w:val="multilevel"/>
    <w:tmpl w:val="0116F028"/>
    <w:lvl w:ilvl="0">
      <w:start w:val="1"/>
      <w:numFmt w:val="decimal"/>
      <w:lvlText w:val="%1."/>
      <w:lvlJc w:val="left"/>
      <w:pPr>
        <w:ind w:left="360" w:hanging="360"/>
      </w:pPr>
      <w:rPr>
        <w:rFonts w:hint="default"/>
        <w:b w:val="0"/>
        <w:color w:val="auto"/>
        <w:sz w:val="22"/>
        <w:szCs w:val="22"/>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510468"/>
    <w:multiLevelType w:val="hybridMultilevel"/>
    <w:tmpl w:val="7360C860"/>
    <w:lvl w:ilvl="0" w:tplc="04090001">
      <w:start w:val="1"/>
      <w:numFmt w:val="bullet"/>
      <w:lvlText w:val=""/>
      <w:lvlJc w:val="left"/>
      <w:pPr>
        <w:ind w:left="-140" w:hanging="360"/>
      </w:pPr>
      <w:rPr>
        <w:rFonts w:ascii="Symbol" w:hAnsi="Symbol" w:hint="default"/>
      </w:rPr>
    </w:lvl>
    <w:lvl w:ilvl="1" w:tplc="04090003" w:tentative="1">
      <w:start w:val="1"/>
      <w:numFmt w:val="bullet"/>
      <w:lvlText w:val="o"/>
      <w:lvlJc w:val="left"/>
      <w:pPr>
        <w:ind w:left="580" w:hanging="360"/>
      </w:pPr>
      <w:rPr>
        <w:rFonts w:ascii="Courier New" w:hAnsi="Courier New" w:cs="Courier New" w:hint="default"/>
      </w:rPr>
    </w:lvl>
    <w:lvl w:ilvl="2" w:tplc="04090005" w:tentative="1">
      <w:start w:val="1"/>
      <w:numFmt w:val="bullet"/>
      <w:lvlText w:val=""/>
      <w:lvlJc w:val="left"/>
      <w:pPr>
        <w:ind w:left="1300" w:hanging="360"/>
      </w:pPr>
      <w:rPr>
        <w:rFonts w:ascii="Wingdings" w:hAnsi="Wingdings" w:hint="default"/>
      </w:rPr>
    </w:lvl>
    <w:lvl w:ilvl="3" w:tplc="04090001" w:tentative="1">
      <w:start w:val="1"/>
      <w:numFmt w:val="bullet"/>
      <w:lvlText w:val=""/>
      <w:lvlJc w:val="left"/>
      <w:pPr>
        <w:ind w:left="2020" w:hanging="360"/>
      </w:pPr>
      <w:rPr>
        <w:rFonts w:ascii="Symbol" w:hAnsi="Symbol" w:hint="default"/>
      </w:rPr>
    </w:lvl>
    <w:lvl w:ilvl="4" w:tplc="04090003" w:tentative="1">
      <w:start w:val="1"/>
      <w:numFmt w:val="bullet"/>
      <w:lvlText w:val="o"/>
      <w:lvlJc w:val="left"/>
      <w:pPr>
        <w:ind w:left="2740" w:hanging="360"/>
      </w:pPr>
      <w:rPr>
        <w:rFonts w:ascii="Courier New" w:hAnsi="Courier New" w:cs="Courier New" w:hint="default"/>
      </w:rPr>
    </w:lvl>
    <w:lvl w:ilvl="5" w:tplc="04090005" w:tentative="1">
      <w:start w:val="1"/>
      <w:numFmt w:val="bullet"/>
      <w:lvlText w:val=""/>
      <w:lvlJc w:val="left"/>
      <w:pPr>
        <w:ind w:left="3460" w:hanging="360"/>
      </w:pPr>
      <w:rPr>
        <w:rFonts w:ascii="Wingdings" w:hAnsi="Wingdings" w:hint="default"/>
      </w:rPr>
    </w:lvl>
    <w:lvl w:ilvl="6" w:tplc="04090001" w:tentative="1">
      <w:start w:val="1"/>
      <w:numFmt w:val="bullet"/>
      <w:lvlText w:val=""/>
      <w:lvlJc w:val="left"/>
      <w:pPr>
        <w:ind w:left="4180" w:hanging="360"/>
      </w:pPr>
      <w:rPr>
        <w:rFonts w:ascii="Symbol" w:hAnsi="Symbol" w:hint="default"/>
      </w:rPr>
    </w:lvl>
    <w:lvl w:ilvl="7" w:tplc="04090003" w:tentative="1">
      <w:start w:val="1"/>
      <w:numFmt w:val="bullet"/>
      <w:lvlText w:val="o"/>
      <w:lvlJc w:val="left"/>
      <w:pPr>
        <w:ind w:left="4900" w:hanging="360"/>
      </w:pPr>
      <w:rPr>
        <w:rFonts w:ascii="Courier New" w:hAnsi="Courier New" w:cs="Courier New" w:hint="default"/>
      </w:rPr>
    </w:lvl>
    <w:lvl w:ilvl="8" w:tplc="04090005" w:tentative="1">
      <w:start w:val="1"/>
      <w:numFmt w:val="bullet"/>
      <w:lvlText w:val=""/>
      <w:lvlJc w:val="left"/>
      <w:pPr>
        <w:ind w:left="5620" w:hanging="360"/>
      </w:pPr>
      <w:rPr>
        <w:rFonts w:ascii="Wingdings" w:hAnsi="Wingdings" w:hint="default"/>
      </w:rPr>
    </w:lvl>
  </w:abstractNum>
  <w:abstractNum w:abstractNumId="18" w15:restartNumberingAfterBreak="0">
    <w:nsid w:val="57B171ED"/>
    <w:multiLevelType w:val="hybridMultilevel"/>
    <w:tmpl w:val="CF42D614"/>
    <w:lvl w:ilvl="0" w:tplc="06D0C7D0">
      <w:start w:val="5"/>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884" w:hanging="360"/>
      </w:pPr>
      <w:rPr>
        <w:rFonts w:ascii="Courier New" w:hAnsi="Courier New" w:cs="Courier New" w:hint="default"/>
      </w:rPr>
    </w:lvl>
    <w:lvl w:ilvl="2" w:tplc="08090005">
      <w:start w:val="1"/>
      <w:numFmt w:val="bullet"/>
      <w:lvlText w:val=""/>
      <w:lvlJc w:val="left"/>
      <w:pPr>
        <w:ind w:left="1604" w:hanging="360"/>
      </w:pPr>
      <w:rPr>
        <w:rFonts w:ascii="Wingdings" w:hAnsi="Wingdings" w:hint="default"/>
      </w:rPr>
    </w:lvl>
    <w:lvl w:ilvl="3" w:tplc="08090001" w:tentative="1">
      <w:start w:val="1"/>
      <w:numFmt w:val="bullet"/>
      <w:lvlText w:val=""/>
      <w:lvlJc w:val="left"/>
      <w:pPr>
        <w:ind w:left="2324" w:hanging="360"/>
      </w:pPr>
      <w:rPr>
        <w:rFonts w:ascii="Symbol" w:hAnsi="Symbol" w:hint="default"/>
      </w:rPr>
    </w:lvl>
    <w:lvl w:ilvl="4" w:tplc="08090003" w:tentative="1">
      <w:start w:val="1"/>
      <w:numFmt w:val="bullet"/>
      <w:lvlText w:val="o"/>
      <w:lvlJc w:val="left"/>
      <w:pPr>
        <w:ind w:left="3044" w:hanging="360"/>
      </w:pPr>
      <w:rPr>
        <w:rFonts w:ascii="Courier New" w:hAnsi="Courier New" w:cs="Courier New" w:hint="default"/>
      </w:rPr>
    </w:lvl>
    <w:lvl w:ilvl="5" w:tplc="08090005" w:tentative="1">
      <w:start w:val="1"/>
      <w:numFmt w:val="bullet"/>
      <w:lvlText w:val=""/>
      <w:lvlJc w:val="left"/>
      <w:pPr>
        <w:ind w:left="3764" w:hanging="360"/>
      </w:pPr>
      <w:rPr>
        <w:rFonts w:ascii="Wingdings" w:hAnsi="Wingdings" w:hint="default"/>
      </w:rPr>
    </w:lvl>
    <w:lvl w:ilvl="6" w:tplc="08090001" w:tentative="1">
      <w:start w:val="1"/>
      <w:numFmt w:val="bullet"/>
      <w:lvlText w:val=""/>
      <w:lvlJc w:val="left"/>
      <w:pPr>
        <w:ind w:left="4484" w:hanging="360"/>
      </w:pPr>
      <w:rPr>
        <w:rFonts w:ascii="Symbol" w:hAnsi="Symbol" w:hint="default"/>
      </w:rPr>
    </w:lvl>
    <w:lvl w:ilvl="7" w:tplc="08090003" w:tentative="1">
      <w:start w:val="1"/>
      <w:numFmt w:val="bullet"/>
      <w:lvlText w:val="o"/>
      <w:lvlJc w:val="left"/>
      <w:pPr>
        <w:ind w:left="5204" w:hanging="360"/>
      </w:pPr>
      <w:rPr>
        <w:rFonts w:ascii="Courier New" w:hAnsi="Courier New" w:cs="Courier New" w:hint="default"/>
      </w:rPr>
    </w:lvl>
    <w:lvl w:ilvl="8" w:tplc="08090005" w:tentative="1">
      <w:start w:val="1"/>
      <w:numFmt w:val="bullet"/>
      <w:lvlText w:val=""/>
      <w:lvlJc w:val="left"/>
      <w:pPr>
        <w:ind w:left="5924" w:hanging="360"/>
      </w:pPr>
      <w:rPr>
        <w:rFonts w:ascii="Wingdings" w:hAnsi="Wingdings" w:hint="default"/>
      </w:rPr>
    </w:lvl>
  </w:abstractNum>
  <w:abstractNum w:abstractNumId="19" w15:restartNumberingAfterBreak="0">
    <w:nsid w:val="59B2447C"/>
    <w:multiLevelType w:val="hybridMultilevel"/>
    <w:tmpl w:val="1028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E56569"/>
    <w:multiLevelType w:val="hybridMultilevel"/>
    <w:tmpl w:val="50CA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36874"/>
    <w:multiLevelType w:val="hybridMultilevel"/>
    <w:tmpl w:val="D166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54EC9"/>
    <w:multiLevelType w:val="hybridMultilevel"/>
    <w:tmpl w:val="640C7AA4"/>
    <w:lvl w:ilvl="0" w:tplc="04090001">
      <w:start w:val="1"/>
      <w:numFmt w:val="bullet"/>
      <w:lvlText w:val=""/>
      <w:lvlJc w:val="left"/>
      <w:pPr>
        <w:ind w:left="524" w:hanging="360"/>
      </w:pPr>
      <w:rPr>
        <w:rFonts w:ascii="Symbol" w:hAnsi="Symbol" w:hint="default"/>
      </w:rPr>
    </w:lvl>
    <w:lvl w:ilvl="1" w:tplc="04090003">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23" w15:restartNumberingAfterBreak="0">
    <w:nsid w:val="63754198"/>
    <w:multiLevelType w:val="hybridMultilevel"/>
    <w:tmpl w:val="53485F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67464224"/>
    <w:multiLevelType w:val="hybridMultilevel"/>
    <w:tmpl w:val="249E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041A7"/>
    <w:multiLevelType w:val="hybridMultilevel"/>
    <w:tmpl w:val="DA36CFF6"/>
    <w:lvl w:ilvl="0" w:tplc="08090001">
      <w:start w:val="1"/>
      <w:numFmt w:val="bullet"/>
      <w:lvlText w:val=""/>
      <w:lvlJc w:val="left"/>
      <w:pPr>
        <w:ind w:left="-238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945" w:hanging="360"/>
      </w:pPr>
      <w:rPr>
        <w:rFonts w:ascii="Wingdings" w:hAnsi="Wingdings" w:hint="default"/>
      </w:rPr>
    </w:lvl>
    <w:lvl w:ilvl="3" w:tplc="08090001" w:tentative="1">
      <w:start w:val="1"/>
      <w:numFmt w:val="bullet"/>
      <w:lvlText w:val=""/>
      <w:lvlJc w:val="left"/>
      <w:pPr>
        <w:ind w:left="-225" w:hanging="360"/>
      </w:pPr>
      <w:rPr>
        <w:rFonts w:ascii="Symbol" w:hAnsi="Symbol" w:hint="default"/>
      </w:rPr>
    </w:lvl>
    <w:lvl w:ilvl="4" w:tplc="08090003" w:tentative="1">
      <w:start w:val="1"/>
      <w:numFmt w:val="bullet"/>
      <w:lvlText w:val="o"/>
      <w:lvlJc w:val="left"/>
      <w:pPr>
        <w:ind w:left="495" w:hanging="360"/>
      </w:pPr>
      <w:rPr>
        <w:rFonts w:ascii="Courier New" w:hAnsi="Courier New" w:cs="Courier New" w:hint="default"/>
      </w:rPr>
    </w:lvl>
    <w:lvl w:ilvl="5" w:tplc="08090005" w:tentative="1">
      <w:start w:val="1"/>
      <w:numFmt w:val="bullet"/>
      <w:lvlText w:val=""/>
      <w:lvlJc w:val="left"/>
      <w:pPr>
        <w:ind w:left="1215" w:hanging="360"/>
      </w:pPr>
      <w:rPr>
        <w:rFonts w:ascii="Wingdings" w:hAnsi="Wingdings" w:hint="default"/>
      </w:rPr>
    </w:lvl>
    <w:lvl w:ilvl="6" w:tplc="08090001" w:tentative="1">
      <w:start w:val="1"/>
      <w:numFmt w:val="bullet"/>
      <w:lvlText w:val=""/>
      <w:lvlJc w:val="left"/>
      <w:pPr>
        <w:ind w:left="1935" w:hanging="360"/>
      </w:pPr>
      <w:rPr>
        <w:rFonts w:ascii="Symbol" w:hAnsi="Symbol" w:hint="default"/>
      </w:rPr>
    </w:lvl>
    <w:lvl w:ilvl="7" w:tplc="08090003" w:tentative="1">
      <w:start w:val="1"/>
      <w:numFmt w:val="bullet"/>
      <w:lvlText w:val="o"/>
      <w:lvlJc w:val="left"/>
      <w:pPr>
        <w:ind w:left="2655" w:hanging="360"/>
      </w:pPr>
      <w:rPr>
        <w:rFonts w:ascii="Courier New" w:hAnsi="Courier New" w:cs="Courier New" w:hint="default"/>
      </w:rPr>
    </w:lvl>
    <w:lvl w:ilvl="8" w:tplc="08090005" w:tentative="1">
      <w:start w:val="1"/>
      <w:numFmt w:val="bullet"/>
      <w:lvlText w:val=""/>
      <w:lvlJc w:val="left"/>
      <w:pPr>
        <w:ind w:left="3375" w:hanging="360"/>
      </w:pPr>
      <w:rPr>
        <w:rFonts w:ascii="Wingdings" w:hAnsi="Wingdings" w:hint="default"/>
      </w:rPr>
    </w:lvl>
  </w:abstractNum>
  <w:num w:numId="1">
    <w:abstractNumId w:val="4"/>
  </w:num>
  <w:num w:numId="2">
    <w:abstractNumId w:val="2"/>
  </w:num>
  <w:num w:numId="3">
    <w:abstractNumId w:val="17"/>
  </w:num>
  <w:num w:numId="4">
    <w:abstractNumId w:val="22"/>
  </w:num>
  <w:num w:numId="5">
    <w:abstractNumId w:val="8"/>
  </w:num>
  <w:num w:numId="6">
    <w:abstractNumId w:val="0"/>
  </w:num>
  <w:num w:numId="7">
    <w:abstractNumId w:val="19"/>
  </w:num>
  <w:num w:numId="8">
    <w:abstractNumId w:val="25"/>
  </w:num>
  <w:num w:numId="9">
    <w:abstractNumId w:val="15"/>
  </w:num>
  <w:num w:numId="10">
    <w:abstractNumId w:val="5"/>
  </w:num>
  <w:num w:numId="11">
    <w:abstractNumId w:val="6"/>
  </w:num>
  <w:num w:numId="12">
    <w:abstractNumId w:val="14"/>
  </w:num>
  <w:num w:numId="13">
    <w:abstractNumId w:val="20"/>
  </w:num>
  <w:num w:numId="14">
    <w:abstractNumId w:val="21"/>
  </w:num>
  <w:num w:numId="15">
    <w:abstractNumId w:val="1"/>
  </w:num>
  <w:num w:numId="16">
    <w:abstractNumId w:val="9"/>
  </w:num>
  <w:num w:numId="17">
    <w:abstractNumId w:val="24"/>
  </w:num>
  <w:num w:numId="18">
    <w:abstractNumId w:val="11"/>
  </w:num>
  <w:num w:numId="19">
    <w:abstractNumId w:val="16"/>
  </w:num>
  <w:num w:numId="20">
    <w:abstractNumId w:val="3"/>
  </w:num>
  <w:num w:numId="21">
    <w:abstractNumId w:val="13"/>
  </w:num>
  <w:num w:numId="22">
    <w:abstractNumId w:val="12"/>
  </w:num>
  <w:num w:numId="23">
    <w:abstractNumId w:val="18"/>
  </w:num>
  <w:num w:numId="24">
    <w:abstractNumId w:val="10"/>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52"/>
    <w:rsid w:val="0001532D"/>
    <w:rsid w:val="0002196B"/>
    <w:rsid w:val="00051B6D"/>
    <w:rsid w:val="0006289D"/>
    <w:rsid w:val="00082901"/>
    <w:rsid w:val="00083DAC"/>
    <w:rsid w:val="00094FC9"/>
    <w:rsid w:val="00096C3E"/>
    <w:rsid w:val="000A2EF0"/>
    <w:rsid w:val="000A40C6"/>
    <w:rsid w:val="000B4924"/>
    <w:rsid w:val="000C71F7"/>
    <w:rsid w:val="000D49A3"/>
    <w:rsid w:val="000E5011"/>
    <w:rsid w:val="000E5C6B"/>
    <w:rsid w:val="000F51FB"/>
    <w:rsid w:val="0011441F"/>
    <w:rsid w:val="00130113"/>
    <w:rsid w:val="00132FCF"/>
    <w:rsid w:val="00140750"/>
    <w:rsid w:val="00150580"/>
    <w:rsid w:val="00150AE9"/>
    <w:rsid w:val="00150E90"/>
    <w:rsid w:val="00152136"/>
    <w:rsid w:val="00157B69"/>
    <w:rsid w:val="00185DBB"/>
    <w:rsid w:val="001A0F1B"/>
    <w:rsid w:val="001A5AB4"/>
    <w:rsid w:val="001C7503"/>
    <w:rsid w:val="001C7D26"/>
    <w:rsid w:val="001D085B"/>
    <w:rsid w:val="001E678A"/>
    <w:rsid w:val="001F5E90"/>
    <w:rsid w:val="00201CDF"/>
    <w:rsid w:val="00222716"/>
    <w:rsid w:val="002270D9"/>
    <w:rsid w:val="002313F9"/>
    <w:rsid w:val="00242C6A"/>
    <w:rsid w:val="00265923"/>
    <w:rsid w:val="00266B02"/>
    <w:rsid w:val="002A6F98"/>
    <w:rsid w:val="002B108B"/>
    <w:rsid w:val="002B7AEE"/>
    <w:rsid w:val="003326DA"/>
    <w:rsid w:val="00352F02"/>
    <w:rsid w:val="00360617"/>
    <w:rsid w:val="00371F4B"/>
    <w:rsid w:val="00387C02"/>
    <w:rsid w:val="00390FD1"/>
    <w:rsid w:val="003B47A7"/>
    <w:rsid w:val="003C1058"/>
    <w:rsid w:val="003C7513"/>
    <w:rsid w:val="003D6BF5"/>
    <w:rsid w:val="003E14AD"/>
    <w:rsid w:val="003E2DC4"/>
    <w:rsid w:val="003F1717"/>
    <w:rsid w:val="00423D5F"/>
    <w:rsid w:val="00433EF4"/>
    <w:rsid w:val="00437430"/>
    <w:rsid w:val="0044139F"/>
    <w:rsid w:val="004442A4"/>
    <w:rsid w:val="00444C6E"/>
    <w:rsid w:val="00472CD1"/>
    <w:rsid w:val="00481329"/>
    <w:rsid w:val="004B3347"/>
    <w:rsid w:val="004C43BC"/>
    <w:rsid w:val="005177B0"/>
    <w:rsid w:val="00523240"/>
    <w:rsid w:val="0055416C"/>
    <w:rsid w:val="005557AD"/>
    <w:rsid w:val="00566B52"/>
    <w:rsid w:val="005A06DC"/>
    <w:rsid w:val="005A37DD"/>
    <w:rsid w:val="005C5645"/>
    <w:rsid w:val="005D1B77"/>
    <w:rsid w:val="005E15F8"/>
    <w:rsid w:val="005E5657"/>
    <w:rsid w:val="005F725C"/>
    <w:rsid w:val="0061585E"/>
    <w:rsid w:val="00617116"/>
    <w:rsid w:val="0062132B"/>
    <w:rsid w:val="006229AA"/>
    <w:rsid w:val="0062776F"/>
    <w:rsid w:val="00653E70"/>
    <w:rsid w:val="00655DEB"/>
    <w:rsid w:val="00657BC6"/>
    <w:rsid w:val="006A2352"/>
    <w:rsid w:val="006A61B9"/>
    <w:rsid w:val="006A6477"/>
    <w:rsid w:val="006B42DB"/>
    <w:rsid w:val="006E1EB6"/>
    <w:rsid w:val="006F7810"/>
    <w:rsid w:val="0070350A"/>
    <w:rsid w:val="00704536"/>
    <w:rsid w:val="007146C1"/>
    <w:rsid w:val="00757417"/>
    <w:rsid w:val="00765EA2"/>
    <w:rsid w:val="007675EC"/>
    <w:rsid w:val="0078063E"/>
    <w:rsid w:val="00787602"/>
    <w:rsid w:val="007A378E"/>
    <w:rsid w:val="007C7858"/>
    <w:rsid w:val="007D0932"/>
    <w:rsid w:val="007F2988"/>
    <w:rsid w:val="007F3B4B"/>
    <w:rsid w:val="00815F87"/>
    <w:rsid w:val="00877D91"/>
    <w:rsid w:val="008867D1"/>
    <w:rsid w:val="00894F2C"/>
    <w:rsid w:val="008A0619"/>
    <w:rsid w:val="008A0874"/>
    <w:rsid w:val="008A259A"/>
    <w:rsid w:val="008C15F3"/>
    <w:rsid w:val="008F7A88"/>
    <w:rsid w:val="009027A9"/>
    <w:rsid w:val="00913B09"/>
    <w:rsid w:val="00940BA7"/>
    <w:rsid w:val="0094559A"/>
    <w:rsid w:val="00961108"/>
    <w:rsid w:val="0096793A"/>
    <w:rsid w:val="00971F6C"/>
    <w:rsid w:val="00975B46"/>
    <w:rsid w:val="009826D8"/>
    <w:rsid w:val="009B73BE"/>
    <w:rsid w:val="009C0D23"/>
    <w:rsid w:val="009F474A"/>
    <w:rsid w:val="00A0687F"/>
    <w:rsid w:val="00A101A6"/>
    <w:rsid w:val="00A766FF"/>
    <w:rsid w:val="00A86A1A"/>
    <w:rsid w:val="00A9040B"/>
    <w:rsid w:val="00AF0D27"/>
    <w:rsid w:val="00B061DE"/>
    <w:rsid w:val="00B100F0"/>
    <w:rsid w:val="00B1303C"/>
    <w:rsid w:val="00B17593"/>
    <w:rsid w:val="00B35B1B"/>
    <w:rsid w:val="00B67A16"/>
    <w:rsid w:val="00B77207"/>
    <w:rsid w:val="00B8387A"/>
    <w:rsid w:val="00B840EA"/>
    <w:rsid w:val="00B85A84"/>
    <w:rsid w:val="00BB5695"/>
    <w:rsid w:val="00BC102C"/>
    <w:rsid w:val="00BD1E98"/>
    <w:rsid w:val="00C43BB2"/>
    <w:rsid w:val="00C63585"/>
    <w:rsid w:val="00C75E00"/>
    <w:rsid w:val="00C76E1D"/>
    <w:rsid w:val="00C844B1"/>
    <w:rsid w:val="00C85330"/>
    <w:rsid w:val="00C91131"/>
    <w:rsid w:val="00C944B0"/>
    <w:rsid w:val="00C95BDB"/>
    <w:rsid w:val="00CB4B65"/>
    <w:rsid w:val="00CD2DA3"/>
    <w:rsid w:val="00CE1A27"/>
    <w:rsid w:val="00CE3DA7"/>
    <w:rsid w:val="00CF153F"/>
    <w:rsid w:val="00CF63A2"/>
    <w:rsid w:val="00D10972"/>
    <w:rsid w:val="00D16326"/>
    <w:rsid w:val="00D21BF1"/>
    <w:rsid w:val="00D33AFB"/>
    <w:rsid w:val="00D60C78"/>
    <w:rsid w:val="00D63B23"/>
    <w:rsid w:val="00D67C55"/>
    <w:rsid w:val="00DA35CB"/>
    <w:rsid w:val="00DC2667"/>
    <w:rsid w:val="00DD3908"/>
    <w:rsid w:val="00DE32DD"/>
    <w:rsid w:val="00DF7076"/>
    <w:rsid w:val="00E06161"/>
    <w:rsid w:val="00E0790C"/>
    <w:rsid w:val="00E22D11"/>
    <w:rsid w:val="00E23AD8"/>
    <w:rsid w:val="00E34194"/>
    <w:rsid w:val="00E4231A"/>
    <w:rsid w:val="00E43095"/>
    <w:rsid w:val="00E46D65"/>
    <w:rsid w:val="00E60A65"/>
    <w:rsid w:val="00E60E4B"/>
    <w:rsid w:val="00E741E5"/>
    <w:rsid w:val="00E85963"/>
    <w:rsid w:val="00E925D5"/>
    <w:rsid w:val="00E9512B"/>
    <w:rsid w:val="00EA6A71"/>
    <w:rsid w:val="00EA79A4"/>
    <w:rsid w:val="00EC19C5"/>
    <w:rsid w:val="00ED1032"/>
    <w:rsid w:val="00ED13D2"/>
    <w:rsid w:val="00F151A1"/>
    <w:rsid w:val="00F31E61"/>
    <w:rsid w:val="00F46BD1"/>
    <w:rsid w:val="00F65DBF"/>
    <w:rsid w:val="00FB0A48"/>
    <w:rsid w:val="00FC7BA4"/>
    <w:rsid w:val="00FD3CE9"/>
    <w:rsid w:val="00FE7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B89F9"/>
  <w15:docId w15:val="{835FF69A-E295-4AF8-BC56-82378D70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B52"/>
  </w:style>
  <w:style w:type="paragraph" w:styleId="Footer">
    <w:name w:val="footer"/>
    <w:basedOn w:val="Normal"/>
    <w:link w:val="FooterChar"/>
    <w:uiPriority w:val="99"/>
    <w:unhideWhenUsed/>
    <w:qFormat/>
    <w:rsid w:val="00566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B52"/>
  </w:style>
  <w:style w:type="numbering" w:customStyle="1" w:styleId="Bullet01">
    <w:name w:val="Bullet_01"/>
    <w:basedOn w:val="NoList"/>
    <w:rsid w:val="00566B52"/>
    <w:pPr>
      <w:numPr>
        <w:numId w:val="1"/>
      </w:numPr>
    </w:pPr>
  </w:style>
  <w:style w:type="paragraph" w:styleId="ListParagraph">
    <w:name w:val="List Paragraph"/>
    <w:basedOn w:val="Normal"/>
    <w:uiPriority w:val="34"/>
    <w:qFormat/>
    <w:rsid w:val="00940BA7"/>
    <w:pPr>
      <w:ind w:left="720"/>
      <w:contextualSpacing/>
    </w:pPr>
  </w:style>
  <w:style w:type="table" w:styleId="TableGrid">
    <w:name w:val="Table Grid"/>
    <w:basedOn w:val="TableNormal"/>
    <w:uiPriority w:val="39"/>
    <w:rsid w:val="0096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231A"/>
    <w:rPr>
      <w:color w:val="0563C1" w:themeColor="hyperlink"/>
      <w:u w:val="single"/>
    </w:rPr>
  </w:style>
  <w:style w:type="character" w:customStyle="1" w:styleId="UnresolvedMention1">
    <w:name w:val="Unresolved Mention1"/>
    <w:basedOn w:val="DefaultParagraphFont"/>
    <w:uiPriority w:val="99"/>
    <w:semiHidden/>
    <w:unhideWhenUsed/>
    <w:rsid w:val="00E4231A"/>
    <w:rPr>
      <w:color w:val="808080"/>
      <w:shd w:val="clear" w:color="auto" w:fill="E6E6E6"/>
    </w:rPr>
  </w:style>
  <w:style w:type="character" w:styleId="FollowedHyperlink">
    <w:name w:val="FollowedHyperlink"/>
    <w:basedOn w:val="DefaultParagraphFont"/>
    <w:uiPriority w:val="99"/>
    <w:semiHidden/>
    <w:unhideWhenUsed/>
    <w:rsid w:val="0001532D"/>
    <w:rPr>
      <w:color w:val="954F72" w:themeColor="followedHyperlink"/>
      <w:u w:val="single"/>
    </w:rPr>
  </w:style>
  <w:style w:type="paragraph" w:styleId="BalloonText">
    <w:name w:val="Balloon Text"/>
    <w:basedOn w:val="Normal"/>
    <w:link w:val="BalloonTextChar"/>
    <w:uiPriority w:val="99"/>
    <w:semiHidden/>
    <w:unhideWhenUsed/>
    <w:rsid w:val="00BC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02C"/>
    <w:rPr>
      <w:rFonts w:ascii="Segoe UI" w:hAnsi="Segoe UI" w:cs="Segoe UI"/>
      <w:sz w:val="18"/>
      <w:szCs w:val="18"/>
    </w:rPr>
  </w:style>
  <w:style w:type="paragraph" w:styleId="Title">
    <w:name w:val="Title"/>
    <w:basedOn w:val="Normal"/>
    <w:link w:val="TitleChar"/>
    <w:qFormat/>
    <w:rsid w:val="00F31E61"/>
    <w:pPr>
      <w:spacing w:after="0" w:line="240" w:lineRule="auto"/>
      <w:jc w:val="center"/>
    </w:pPr>
    <w:rPr>
      <w:rFonts w:ascii="Times New Roman" w:eastAsia="Times New Roman" w:hAnsi="Times New Roman" w:cs="Times New Roman"/>
      <w:b/>
      <w:sz w:val="24"/>
      <w:szCs w:val="20"/>
      <w:u w:val="single"/>
      <w:lang w:val="en-IE" w:eastAsia="x-none"/>
    </w:rPr>
  </w:style>
  <w:style w:type="character" w:customStyle="1" w:styleId="TitleChar">
    <w:name w:val="Title Char"/>
    <w:basedOn w:val="DefaultParagraphFont"/>
    <w:link w:val="Title"/>
    <w:rsid w:val="00F31E61"/>
    <w:rPr>
      <w:rFonts w:ascii="Times New Roman" w:eastAsia="Times New Roman" w:hAnsi="Times New Roman" w:cs="Times New Roman"/>
      <w:b/>
      <w:sz w:val="24"/>
      <w:szCs w:val="20"/>
      <w:u w:val="single"/>
      <w:lang w:val="en-IE" w:eastAsia="x-none"/>
    </w:rPr>
  </w:style>
  <w:style w:type="paragraph" w:customStyle="1" w:styleId="Style1">
    <w:name w:val="Style1"/>
    <w:basedOn w:val="Normal"/>
    <w:link w:val="Style1Char"/>
    <w:qFormat/>
    <w:rsid w:val="002B108B"/>
    <w:pPr>
      <w:spacing w:after="0" w:line="240" w:lineRule="auto"/>
      <w:jc w:val="both"/>
      <w:outlineLvl w:val="1"/>
    </w:pPr>
    <w:rPr>
      <w:rFonts w:asciiTheme="majorHAnsi" w:eastAsia="Arial" w:hAnsiTheme="majorHAnsi" w:cstheme="minorHAnsi"/>
      <w:bCs/>
      <w:color w:val="7030A0"/>
      <w:spacing w:val="-2"/>
      <w:sz w:val="28"/>
      <w:szCs w:val="28"/>
    </w:rPr>
  </w:style>
  <w:style w:type="paragraph" w:customStyle="1" w:styleId="Style2">
    <w:name w:val="Style2"/>
    <w:basedOn w:val="Style1"/>
    <w:link w:val="Style2Char"/>
    <w:qFormat/>
    <w:rsid w:val="002B108B"/>
    <w:pPr>
      <w:numPr>
        <w:numId w:val="26"/>
      </w:numPr>
      <w:ind w:left="284" w:hanging="284"/>
    </w:pPr>
  </w:style>
  <w:style w:type="character" w:customStyle="1" w:styleId="Style1Char">
    <w:name w:val="Style1 Char"/>
    <w:basedOn w:val="DefaultParagraphFont"/>
    <w:link w:val="Style1"/>
    <w:rsid w:val="002B108B"/>
    <w:rPr>
      <w:rFonts w:asciiTheme="majorHAnsi" w:eastAsia="Arial" w:hAnsiTheme="majorHAnsi" w:cstheme="minorHAnsi"/>
      <w:bCs/>
      <w:color w:val="7030A0"/>
      <w:spacing w:val="-2"/>
      <w:sz w:val="28"/>
      <w:szCs w:val="28"/>
    </w:rPr>
  </w:style>
  <w:style w:type="paragraph" w:customStyle="1" w:styleId="Style3">
    <w:name w:val="Style3"/>
    <w:basedOn w:val="Style2"/>
    <w:link w:val="Style3Char"/>
    <w:qFormat/>
    <w:rsid w:val="002B108B"/>
    <w:rPr>
      <w:sz w:val="24"/>
      <w:szCs w:val="24"/>
    </w:rPr>
  </w:style>
  <w:style w:type="character" w:customStyle="1" w:styleId="Style2Char">
    <w:name w:val="Style2 Char"/>
    <w:basedOn w:val="Style1Char"/>
    <w:link w:val="Style2"/>
    <w:rsid w:val="002B108B"/>
    <w:rPr>
      <w:rFonts w:asciiTheme="majorHAnsi" w:eastAsia="Arial" w:hAnsiTheme="majorHAnsi" w:cstheme="minorHAnsi"/>
      <w:bCs/>
      <w:color w:val="7030A0"/>
      <w:spacing w:val="-2"/>
      <w:sz w:val="28"/>
      <w:szCs w:val="28"/>
    </w:rPr>
  </w:style>
  <w:style w:type="paragraph" w:customStyle="1" w:styleId="Style4">
    <w:name w:val="Style4"/>
    <w:basedOn w:val="Normal"/>
    <w:link w:val="Style4Char"/>
    <w:qFormat/>
    <w:rsid w:val="000E5011"/>
    <w:pPr>
      <w:spacing w:after="0" w:line="240" w:lineRule="auto"/>
      <w:ind w:left="284"/>
    </w:pPr>
    <w:rPr>
      <w:rFonts w:eastAsia="Arial" w:cstheme="minorHAnsi"/>
      <w:bCs/>
      <w:color w:val="7F7F7F" w:themeColor="text1" w:themeTint="80"/>
      <w:spacing w:val="-2"/>
      <w:sz w:val="24"/>
      <w:szCs w:val="24"/>
    </w:rPr>
  </w:style>
  <w:style w:type="character" w:customStyle="1" w:styleId="Style3Char">
    <w:name w:val="Style3 Char"/>
    <w:basedOn w:val="Style2Char"/>
    <w:link w:val="Style3"/>
    <w:rsid w:val="002B108B"/>
    <w:rPr>
      <w:rFonts w:asciiTheme="majorHAnsi" w:eastAsia="Arial" w:hAnsiTheme="majorHAnsi" w:cstheme="minorHAnsi"/>
      <w:bCs/>
      <w:color w:val="7030A0"/>
      <w:spacing w:val="-2"/>
      <w:sz w:val="24"/>
      <w:szCs w:val="24"/>
    </w:rPr>
  </w:style>
  <w:style w:type="paragraph" w:customStyle="1" w:styleId="Style5">
    <w:name w:val="Style5"/>
    <w:basedOn w:val="Style1"/>
    <w:link w:val="Style5Char"/>
    <w:qFormat/>
    <w:rsid w:val="003C7513"/>
    <w:rPr>
      <w:sz w:val="24"/>
      <w:szCs w:val="24"/>
    </w:rPr>
  </w:style>
  <w:style w:type="character" w:customStyle="1" w:styleId="Style4Char">
    <w:name w:val="Style4 Char"/>
    <w:basedOn w:val="DefaultParagraphFont"/>
    <w:link w:val="Style4"/>
    <w:rsid w:val="000E5011"/>
    <w:rPr>
      <w:rFonts w:eastAsia="Arial" w:cstheme="minorHAnsi"/>
      <w:bCs/>
      <w:color w:val="7F7F7F" w:themeColor="text1" w:themeTint="80"/>
      <w:spacing w:val="-2"/>
      <w:sz w:val="24"/>
      <w:szCs w:val="24"/>
    </w:rPr>
  </w:style>
  <w:style w:type="character" w:customStyle="1" w:styleId="Style5Char">
    <w:name w:val="Style5 Char"/>
    <w:basedOn w:val="Style1Char"/>
    <w:link w:val="Style5"/>
    <w:rsid w:val="003C7513"/>
    <w:rPr>
      <w:rFonts w:asciiTheme="majorHAnsi" w:eastAsia="Arial" w:hAnsiTheme="majorHAnsi" w:cstheme="minorHAnsi"/>
      <w:bCs/>
      <w:color w:val="7030A0"/>
      <w:spacing w:val="-2"/>
      <w:sz w:val="24"/>
      <w:szCs w:val="24"/>
    </w:rPr>
  </w:style>
  <w:style w:type="paragraph" w:styleId="NoSpacing">
    <w:name w:val="No Spacing"/>
    <w:uiPriority w:val="1"/>
    <w:qFormat/>
    <w:rsid w:val="0062776F"/>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Healthcare@nhs.net" TargetMode="External"/><Relationship Id="rId13" Type="http://schemas.openxmlformats.org/officeDocument/2006/relationships/hyperlink" Target="https://www.orderline.dh.gov.uk/ecom_dh/public/saleproducts.jsf" TargetMode="External"/><Relationship Id="rId3" Type="http://schemas.openxmlformats.org/officeDocument/2006/relationships/settings" Target="settings.xml"/><Relationship Id="rId7" Type="http://schemas.openxmlformats.org/officeDocument/2006/relationships/hyperlink" Target="mailto:DPO.healthcare@nhs.net" TargetMode="External"/><Relationship Id="rId12" Type="http://schemas.openxmlformats.org/officeDocument/2006/relationships/hyperlink" Target="https://www.england.nhs.uk/wp-content/uploads/2016/09/go-online-prom-toolkit-gps-v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ake-a-complaint/your-personal-information-concer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the-nhs-constitution-for-england/how-do-i-give-feedback-or-make-a-complaint-about-an-nhs-service" TargetMode="External"/><Relationship Id="rId4" Type="http://schemas.openxmlformats.org/officeDocument/2006/relationships/webSettings" Target="webSettings.xml"/><Relationship Id="rId9" Type="http://schemas.openxmlformats.org/officeDocument/2006/relationships/hyperlink" Target="mailto:DPO.healthcare@nhs.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southportandformbyhealth.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dc:creator>
  <cp:lastModifiedBy>Sefton LMC</cp:lastModifiedBy>
  <cp:revision>8</cp:revision>
  <cp:lastPrinted>2018-05-29T19:13:00Z</cp:lastPrinted>
  <dcterms:created xsi:type="dcterms:W3CDTF">2021-10-25T13:39:00Z</dcterms:created>
  <dcterms:modified xsi:type="dcterms:W3CDTF">2021-10-25T13:44:00Z</dcterms:modified>
</cp:coreProperties>
</file>